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附件3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行政执法主体资格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表</w:t>
      </w:r>
    </w:p>
    <w:p>
      <w:pPr>
        <w:rPr>
          <w:rFonts w:hint="eastAsia"/>
          <w:sz w:val="44"/>
          <w:szCs w:val="44"/>
        </w:rPr>
      </w:pP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填报单位：</w:t>
      </w:r>
    </w:p>
    <w:tbl>
      <w:tblPr>
        <w:tblStyle w:val="3"/>
        <w:tblW w:w="13626" w:type="dxa"/>
        <w:tblInd w:w="2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49"/>
        <w:gridCol w:w="1211"/>
        <w:gridCol w:w="1141"/>
        <w:gridCol w:w="2907"/>
        <w:gridCol w:w="1500"/>
        <w:gridCol w:w="1670"/>
        <w:gridCol w:w="1231"/>
        <w:gridCol w:w="12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74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行政执法主体名称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经费来源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队伍编制情况</w:t>
            </w:r>
          </w:p>
        </w:tc>
        <w:tc>
          <w:tcPr>
            <w:tcW w:w="290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执法职责和权限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法定代表人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单位地址</w:t>
            </w: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投诉举报电话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76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商务和经济合作促进局</w:t>
            </w:r>
          </w:p>
        </w:tc>
        <w:tc>
          <w:tcPr>
            <w:tcW w:w="1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财政拨款</w:t>
            </w:r>
          </w:p>
        </w:tc>
        <w:tc>
          <w:tcPr>
            <w:tcW w:w="11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80" w:firstLineChars="200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eastAsia="仿宋_GB2312"/>
                <w:sz w:val="24"/>
                <w:szCs w:val="24"/>
              </w:rPr>
              <w:t>承担行政监督检查及具有行政处罚权的商务行政执法工作；按有关规定对成品油、煤炭、美容美发等行业进行监督管理；参与组织打击商业欺诈等工作，确保市场有序竞争。</w:t>
            </w: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杜新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长安路607号</w:t>
            </w: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8802793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27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1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290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5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备注：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  <w:lang w:eastAsia="zh-CN"/>
        </w:rPr>
        <w:t>填报单位需将本单位及所属的全部行政执法主体填入此表中。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2、依法开展委托执法的，应当在备注一栏中注明受何单位委托进行执法。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3、委托执法协议需另行上报备案。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1B4316"/>
    <w:rsid w:val="231B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2019-12-05T06:43:00Z</dcterms:created>
  <dc:creator>大蒙子</dc:creator>
  <cp:lastModifiedBy>大蒙子</cp:lastModifiedBy>
  <dcterms:modified xsi:type="dcterms:W3CDTF">2019-12-05T06:44:33Z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