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color w:val="000000" w:themeColor="text1"/>
        </w:rPr>
      </w:pPr>
      <w:bookmarkStart w:id="0" w:name="_GoBack"/>
      <w:bookmarkEnd w:id="0"/>
    </w:p>
    <w:p>
      <w:pPr>
        <w:pStyle w:val="2"/>
        <w:jc w:val="center"/>
        <w:rPr>
          <w:color w:val="000000" w:themeColor="text1"/>
        </w:rPr>
      </w:pPr>
    </w:p>
    <w:p>
      <w:pPr>
        <w:pStyle w:val="2"/>
        <w:jc w:val="center"/>
        <w:rPr>
          <w:color w:val="000000" w:themeColor="text1"/>
        </w:rPr>
      </w:pPr>
    </w:p>
    <w:p>
      <w:pPr>
        <w:pStyle w:val="2"/>
        <w:jc w:val="center"/>
        <w:rPr>
          <w:rFonts w:ascii="黑体" w:hAnsi="黑体" w:eastAsia="黑体"/>
          <w:color w:val="000000" w:themeColor="text1"/>
          <w:sz w:val="72"/>
          <w:szCs w:val="72"/>
        </w:rPr>
      </w:pPr>
      <w:r>
        <w:rPr>
          <w:rFonts w:hint="eastAsia" w:ascii="黑体" w:hAnsi="黑体" w:eastAsia="黑体"/>
          <w:color w:val="000000" w:themeColor="text1"/>
          <w:sz w:val="72"/>
          <w:szCs w:val="72"/>
        </w:rPr>
        <w:t>前进区发展改革工信局</w:t>
      </w:r>
    </w:p>
    <w:p>
      <w:pPr>
        <w:pStyle w:val="2"/>
        <w:jc w:val="center"/>
        <w:rPr>
          <w:color w:val="000000" w:themeColor="text1"/>
          <w:sz w:val="84"/>
          <w:szCs w:val="84"/>
        </w:rPr>
      </w:pPr>
      <w:r>
        <w:rPr>
          <w:rFonts w:hint="eastAsia"/>
          <w:color w:val="000000" w:themeColor="text1"/>
          <w:sz w:val="84"/>
          <w:szCs w:val="84"/>
        </w:rPr>
        <w:t>2020年部门预算</w:t>
      </w:r>
    </w:p>
    <w:p>
      <w:pPr>
        <w:rPr>
          <w:color w:val="000000" w:themeColor="text1"/>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p>
    <w:p>
      <w:pPr>
        <w:jc w:val="center"/>
        <w:rPr>
          <w:rFonts w:ascii="宋体" w:hAnsi="宋体"/>
          <w:b/>
          <w:color w:val="000000" w:themeColor="text1"/>
          <w:sz w:val="44"/>
          <w:szCs w:val="44"/>
        </w:rPr>
      </w:pPr>
      <w:r>
        <w:rPr>
          <w:rFonts w:hint="eastAsia" w:ascii="宋体" w:hAnsi="宋体"/>
          <w:b/>
          <w:color w:val="000000" w:themeColor="text1"/>
          <w:sz w:val="44"/>
          <w:szCs w:val="44"/>
        </w:rPr>
        <w:t>目   录</w:t>
      </w:r>
    </w:p>
    <w:p>
      <w:pPr>
        <w:rPr>
          <w:b/>
          <w:color w:val="000000" w:themeColor="text1"/>
          <w:sz w:val="32"/>
          <w:szCs w:val="32"/>
        </w:rPr>
      </w:pPr>
    </w:p>
    <w:p>
      <w:pPr>
        <w:jc w:val="left"/>
        <w:rPr>
          <w:rFonts w:ascii="宋体" w:hAnsi="宋体"/>
          <w:b/>
          <w:color w:val="000000" w:themeColor="text1"/>
          <w:sz w:val="32"/>
          <w:szCs w:val="32"/>
        </w:rPr>
      </w:pPr>
      <w:r>
        <w:rPr>
          <w:rFonts w:hint="eastAsia" w:ascii="宋体" w:hAnsi="宋体"/>
          <w:b/>
          <w:color w:val="000000" w:themeColor="text1"/>
          <w:sz w:val="32"/>
          <w:szCs w:val="32"/>
        </w:rPr>
        <w:t>第一部分 部门概况</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一、部门职责</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二、机构设置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三、人员构成</w:t>
      </w:r>
    </w:p>
    <w:p>
      <w:pPr>
        <w:jc w:val="left"/>
        <w:rPr>
          <w:rFonts w:ascii="宋体" w:hAnsi="宋体"/>
          <w:color w:val="000000" w:themeColor="text1"/>
          <w:sz w:val="32"/>
          <w:szCs w:val="32"/>
        </w:rPr>
      </w:pPr>
      <w:r>
        <w:rPr>
          <w:rFonts w:hint="eastAsia" w:ascii="宋体" w:hAnsi="宋体"/>
          <w:b/>
          <w:color w:val="000000" w:themeColor="text1"/>
          <w:sz w:val="32"/>
          <w:szCs w:val="32"/>
        </w:rPr>
        <w:t>第二部分 2020年部门预算报表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一、部门收支总表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二、部门收入总表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三、部门支出总表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四、财政拨款收支总表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五、一般公共预算支出表（功能科目）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六、一般公共预算支出表（政府经济科目）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七、一般公共预算基本支出表（部门经济科目）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八、一般公共预算基本支出表（政府经济科目）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九、一般公共预算“三公”经费财政拨款支出表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十、政府性基金预算支出表（功能科目）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十一、政府性基金预算支出表（部门经济科目）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十二、政府性基金预算支出表（政府经济科目）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十三、部门整体支出绩效目标申报表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十四、部门预算项目和专项资金绩效目标申报表</w:t>
      </w:r>
    </w:p>
    <w:p>
      <w:pPr>
        <w:ind w:firstLine="630" w:firstLineChars="196"/>
        <w:jc w:val="left"/>
        <w:rPr>
          <w:rFonts w:ascii="宋体" w:hAnsi="宋体"/>
          <w:b/>
          <w:color w:val="000000" w:themeColor="text1"/>
          <w:sz w:val="32"/>
          <w:szCs w:val="32"/>
        </w:rPr>
      </w:pPr>
      <w:r>
        <w:rPr>
          <w:rFonts w:hint="eastAsia" w:ascii="宋体" w:hAnsi="宋体"/>
          <w:b/>
          <w:color w:val="000000" w:themeColor="text1"/>
          <w:sz w:val="32"/>
          <w:szCs w:val="32"/>
        </w:rPr>
        <w:t>第三部分 2020年部门预算情况说明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一、关于部门收支总表的情况说明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二、关于部门收入总表的情况说明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三、关于部门支出总表的情况说明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四、关于财政拨款收支总表的情况说明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五、关于一般公共预算支出表（功能科目）的说明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六、关于一般公共预算支出表（政府经济科目）的说明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七、关于一般公共预算基本支出表（部门经济科目）的说明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八、关于一般公共预算基本支出表（政府经济科目）的说明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九、关于一般公共预算“三公”经费财政拨款支出表的说明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十、关于政府性基金预算支出表（功能科目）的说明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十一、关于政府性基金预算支出表（部门经济科目）的说明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十二、关于政府性基金预算支出表（政府经济科目）的说明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十三、机关运行经费安排情况说明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十四、关于政府采购预算支出情况说明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十五、关于国有资产占有使用情况说明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十六、关于部门整体支出和项目资金绩效目标说明</w:t>
      </w:r>
    </w:p>
    <w:p>
      <w:pPr>
        <w:ind w:left="630" w:leftChars="300" w:firstLine="627" w:firstLineChars="196"/>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十七、专项转移支付项目情况</w:t>
      </w:r>
    </w:p>
    <w:p>
      <w:pPr>
        <w:ind w:firstLine="643" w:firstLineChars="200"/>
        <w:jc w:val="left"/>
        <w:rPr>
          <w:rFonts w:ascii="宋体" w:hAnsi="宋体"/>
          <w:b/>
          <w:color w:val="000000" w:themeColor="text1"/>
          <w:sz w:val="32"/>
          <w:szCs w:val="32"/>
        </w:rPr>
      </w:pPr>
      <w:r>
        <w:rPr>
          <w:rFonts w:hint="eastAsia" w:ascii="宋体" w:hAnsi="宋体"/>
          <w:b/>
          <w:color w:val="000000" w:themeColor="text1"/>
          <w:sz w:val="32"/>
          <w:szCs w:val="32"/>
        </w:rPr>
        <w:t>第四部分 名词解释</w:t>
      </w: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p>
    <w:p>
      <w:pPr>
        <w:jc w:val="center"/>
        <w:rPr>
          <w:rFonts w:ascii="宋体" w:hAnsi="宋体"/>
          <w:b/>
          <w:color w:val="000000" w:themeColor="text1"/>
          <w:sz w:val="32"/>
          <w:szCs w:val="32"/>
        </w:rPr>
      </w:pPr>
      <w:r>
        <w:rPr>
          <w:rFonts w:hint="eastAsia" w:ascii="宋体" w:hAnsi="宋体"/>
          <w:b/>
          <w:color w:val="000000" w:themeColor="text1"/>
          <w:sz w:val="32"/>
          <w:szCs w:val="32"/>
        </w:rPr>
        <w:t>第一部分   部门概况</w:t>
      </w:r>
    </w:p>
    <w:p>
      <w:pPr>
        <w:ind w:firstLine="848" w:firstLineChars="265"/>
        <w:jc w:val="left"/>
        <w:rPr>
          <w:rFonts w:ascii="仿宋" w:hAnsi="仿宋" w:eastAsia="仿宋"/>
          <w:color w:val="000000" w:themeColor="text1"/>
          <w:sz w:val="32"/>
          <w:szCs w:val="32"/>
        </w:rPr>
      </w:pPr>
      <w:r>
        <w:rPr>
          <w:rFonts w:hint="eastAsia" w:ascii="仿宋" w:hAnsi="仿宋" w:eastAsia="仿宋"/>
          <w:color w:val="000000" w:themeColor="text1"/>
          <w:sz w:val="32"/>
          <w:szCs w:val="32"/>
        </w:rPr>
        <w:t>一、部门职责</w:t>
      </w:r>
    </w:p>
    <w:p>
      <w:pPr>
        <w:ind w:left="1360"/>
        <w:rPr>
          <w:rFonts w:ascii="宋体" w:hAnsi="宋体"/>
          <w:color w:val="000000" w:themeColor="text1"/>
          <w:sz w:val="32"/>
          <w:szCs w:val="32"/>
        </w:rPr>
      </w:pPr>
      <w:r>
        <w:rPr>
          <w:rFonts w:hint="eastAsia" w:ascii="宋体" w:hAnsi="宋体"/>
          <w:color w:val="000000" w:themeColor="text1"/>
          <w:sz w:val="32"/>
          <w:szCs w:val="32"/>
        </w:rPr>
        <w:t>（一）研究提出全区国民经济和社会发展战略、中长期规划及年度计划，引导和促进全区经济结构合理化和区域经济的协调发展。</w:t>
      </w:r>
    </w:p>
    <w:p>
      <w:pPr>
        <w:ind w:left="1360"/>
        <w:rPr>
          <w:rFonts w:ascii="宋体" w:hAnsi="宋体"/>
          <w:color w:val="000000" w:themeColor="text1"/>
          <w:sz w:val="32"/>
          <w:szCs w:val="32"/>
        </w:rPr>
      </w:pPr>
      <w:r>
        <w:rPr>
          <w:rFonts w:hint="eastAsia" w:ascii="宋体" w:hAnsi="宋体"/>
          <w:color w:val="000000" w:themeColor="text1"/>
          <w:sz w:val="32"/>
          <w:szCs w:val="32"/>
        </w:rPr>
        <w:t>（二）负责权限范围内项目审批、核准、备案工作。</w:t>
      </w:r>
    </w:p>
    <w:p>
      <w:pPr>
        <w:ind w:left="1360"/>
        <w:rPr>
          <w:rFonts w:ascii="宋体" w:hAnsi="宋体"/>
          <w:color w:val="000000" w:themeColor="text1"/>
          <w:sz w:val="32"/>
          <w:szCs w:val="32"/>
        </w:rPr>
      </w:pPr>
      <w:r>
        <w:rPr>
          <w:rFonts w:hint="eastAsia" w:ascii="宋体" w:hAnsi="宋体"/>
          <w:color w:val="000000" w:themeColor="text1"/>
          <w:sz w:val="32"/>
          <w:szCs w:val="32"/>
        </w:rPr>
        <w:t>（三）组织论证、筛选、谋划重大项目，负责省市级重大项目的申报工作，负责重大项目的牵头协调工作，争取多上项目和上级扶持资金政策支持。</w:t>
      </w:r>
    </w:p>
    <w:p>
      <w:pPr>
        <w:ind w:left="1360"/>
        <w:rPr>
          <w:rFonts w:ascii="宋体" w:hAnsi="宋体"/>
          <w:color w:val="000000" w:themeColor="text1"/>
          <w:sz w:val="32"/>
          <w:szCs w:val="32"/>
        </w:rPr>
      </w:pPr>
      <w:r>
        <w:rPr>
          <w:rFonts w:hint="eastAsia" w:ascii="宋体" w:hAnsi="宋体"/>
          <w:color w:val="000000" w:themeColor="text1"/>
          <w:sz w:val="32"/>
          <w:szCs w:val="32"/>
        </w:rPr>
        <w:t>（四）研究提出全区社会事业发展战略和总体目标。</w:t>
      </w:r>
    </w:p>
    <w:p>
      <w:pPr>
        <w:ind w:left="1360"/>
        <w:rPr>
          <w:rFonts w:ascii="宋体" w:hAnsi="宋体"/>
          <w:color w:val="000000" w:themeColor="text1"/>
          <w:sz w:val="32"/>
          <w:szCs w:val="32"/>
        </w:rPr>
      </w:pPr>
      <w:r>
        <w:rPr>
          <w:rFonts w:hint="eastAsia" w:ascii="宋体" w:hAnsi="宋体"/>
          <w:color w:val="000000" w:themeColor="text1"/>
          <w:sz w:val="32"/>
          <w:szCs w:val="32"/>
        </w:rPr>
        <w:t>（五）负责申报、安排、管理以工代赈项目。</w:t>
      </w:r>
    </w:p>
    <w:p>
      <w:pPr>
        <w:ind w:left="1360"/>
        <w:rPr>
          <w:rFonts w:ascii="宋体" w:hAnsi="宋体"/>
          <w:color w:val="000000" w:themeColor="text1"/>
          <w:sz w:val="32"/>
          <w:szCs w:val="32"/>
        </w:rPr>
      </w:pPr>
      <w:r>
        <w:rPr>
          <w:rFonts w:hint="eastAsia" w:ascii="宋体" w:hAnsi="宋体"/>
          <w:color w:val="000000" w:themeColor="text1"/>
          <w:sz w:val="32"/>
          <w:szCs w:val="32"/>
        </w:rPr>
        <w:t>（六）负责小额贷款公司的申报和日常监管工作。</w:t>
      </w:r>
    </w:p>
    <w:p>
      <w:pPr>
        <w:ind w:left="1360"/>
        <w:rPr>
          <w:rFonts w:ascii="宋体" w:hAnsi="宋体"/>
          <w:color w:val="000000" w:themeColor="text1"/>
          <w:sz w:val="32"/>
          <w:szCs w:val="32"/>
        </w:rPr>
      </w:pPr>
      <w:r>
        <w:rPr>
          <w:rFonts w:hint="eastAsia" w:ascii="宋体" w:hAnsi="宋体"/>
          <w:color w:val="000000" w:themeColor="text1"/>
          <w:sz w:val="32"/>
          <w:szCs w:val="32"/>
        </w:rPr>
        <w:t>（七）负责全区工业经济、中小企业和信息化发展的统筹协调。</w:t>
      </w:r>
    </w:p>
    <w:p>
      <w:pPr>
        <w:ind w:left="1360"/>
        <w:rPr>
          <w:rFonts w:ascii="宋体" w:hAnsi="宋体"/>
          <w:color w:val="000000" w:themeColor="text1"/>
          <w:sz w:val="32"/>
          <w:szCs w:val="32"/>
        </w:rPr>
      </w:pPr>
      <w:r>
        <w:rPr>
          <w:rFonts w:hint="eastAsia" w:ascii="宋体" w:hAnsi="宋体"/>
          <w:color w:val="000000" w:themeColor="text1"/>
          <w:sz w:val="32"/>
          <w:szCs w:val="32"/>
        </w:rPr>
        <w:t>（八）制定年度区域经济发展计划并组织实施。</w:t>
      </w:r>
    </w:p>
    <w:p>
      <w:pPr>
        <w:ind w:left="1360"/>
        <w:rPr>
          <w:rFonts w:ascii="宋体" w:hAnsi="宋体"/>
          <w:color w:val="000000" w:themeColor="text1"/>
          <w:sz w:val="32"/>
          <w:szCs w:val="32"/>
        </w:rPr>
      </w:pPr>
      <w:r>
        <w:rPr>
          <w:rFonts w:hint="eastAsia" w:ascii="宋体" w:hAnsi="宋体"/>
          <w:color w:val="000000" w:themeColor="text1"/>
          <w:sz w:val="32"/>
          <w:szCs w:val="32"/>
        </w:rPr>
        <w:t>（九）监测分析全区规模工业、信息产业运行态势。</w:t>
      </w:r>
    </w:p>
    <w:p>
      <w:pPr>
        <w:ind w:left="1360"/>
        <w:rPr>
          <w:rFonts w:ascii="宋体" w:hAnsi="宋体"/>
          <w:color w:val="000000" w:themeColor="text1"/>
          <w:sz w:val="32"/>
          <w:szCs w:val="32"/>
        </w:rPr>
      </w:pPr>
      <w:r>
        <w:rPr>
          <w:rFonts w:hint="eastAsia" w:ascii="宋体" w:hAnsi="宋体"/>
          <w:color w:val="000000" w:themeColor="text1"/>
          <w:sz w:val="32"/>
          <w:szCs w:val="32"/>
        </w:rPr>
        <w:t>（十）推进新兴产业发展和产业调整升级。</w:t>
      </w:r>
    </w:p>
    <w:p>
      <w:pPr>
        <w:ind w:left="1360"/>
        <w:rPr>
          <w:rFonts w:ascii="宋体" w:hAnsi="宋体"/>
          <w:color w:val="000000" w:themeColor="text1"/>
          <w:sz w:val="32"/>
          <w:szCs w:val="32"/>
        </w:rPr>
      </w:pPr>
      <w:r>
        <w:rPr>
          <w:rFonts w:hint="eastAsia" w:ascii="宋体" w:hAnsi="宋体"/>
          <w:color w:val="000000" w:themeColor="text1"/>
          <w:sz w:val="32"/>
          <w:szCs w:val="32"/>
        </w:rPr>
        <w:t>（十一）指导协调新兴产业发展和工业园区规划建设，协调项目建设中的矛盾和问题。</w:t>
      </w:r>
    </w:p>
    <w:p>
      <w:pPr>
        <w:ind w:left="1360"/>
        <w:rPr>
          <w:rFonts w:ascii="宋体" w:hAnsi="宋体"/>
          <w:color w:val="000000" w:themeColor="text1"/>
          <w:sz w:val="32"/>
          <w:szCs w:val="32"/>
        </w:rPr>
      </w:pPr>
      <w:r>
        <w:rPr>
          <w:rFonts w:hint="eastAsia" w:ascii="宋体" w:hAnsi="宋体"/>
          <w:color w:val="000000" w:themeColor="text1"/>
          <w:sz w:val="32"/>
          <w:szCs w:val="32"/>
        </w:rPr>
        <w:t>（十二）负责全区技术改造投资管理工作；负责全区节能减排的综合协调工作；负责中小企业发展的综合指导与协调。</w:t>
      </w:r>
    </w:p>
    <w:p>
      <w:pPr>
        <w:ind w:left="1360"/>
        <w:rPr>
          <w:rFonts w:ascii="宋体" w:hAnsi="宋体"/>
          <w:color w:val="000000" w:themeColor="text1"/>
          <w:sz w:val="32"/>
          <w:szCs w:val="32"/>
        </w:rPr>
      </w:pPr>
      <w:r>
        <w:rPr>
          <w:rFonts w:hint="eastAsia" w:ascii="宋体" w:hAnsi="宋体"/>
          <w:color w:val="000000" w:themeColor="text1"/>
          <w:sz w:val="32"/>
          <w:szCs w:val="32"/>
        </w:rPr>
        <w:t>（十三）推进中小企业服务体系建设，促进金融机构与中小企业建立融资渠道。</w:t>
      </w:r>
    </w:p>
    <w:p>
      <w:pPr>
        <w:ind w:left="1360"/>
        <w:rPr>
          <w:rFonts w:ascii="宋体" w:hAnsi="宋体"/>
          <w:color w:val="000000" w:themeColor="text1"/>
          <w:sz w:val="32"/>
          <w:szCs w:val="32"/>
        </w:rPr>
      </w:pPr>
      <w:r>
        <w:rPr>
          <w:rFonts w:hint="eastAsia" w:ascii="宋体" w:hAnsi="宋体"/>
          <w:color w:val="000000" w:themeColor="text1"/>
          <w:sz w:val="32"/>
          <w:szCs w:val="32"/>
        </w:rPr>
        <w:t>（十四）扶持中小企业发展，组织各项上级政策的落实；加强企业改革工作。</w:t>
      </w:r>
    </w:p>
    <w:p>
      <w:pPr>
        <w:ind w:left="1360"/>
        <w:rPr>
          <w:rFonts w:ascii="宋体" w:hAnsi="宋体"/>
          <w:color w:val="000000" w:themeColor="text1"/>
          <w:sz w:val="32"/>
          <w:szCs w:val="32"/>
        </w:rPr>
      </w:pPr>
      <w:r>
        <w:rPr>
          <w:rFonts w:hint="eastAsia" w:ascii="宋体" w:hAnsi="宋体"/>
          <w:color w:val="000000" w:themeColor="text1"/>
          <w:sz w:val="32"/>
          <w:szCs w:val="32"/>
        </w:rPr>
        <w:t>（十五）承办区政府交办的其他事项。</w:t>
      </w:r>
    </w:p>
    <w:p>
      <w:pPr>
        <w:ind w:firstLine="848" w:firstLineChars="265"/>
        <w:rPr>
          <w:rFonts w:ascii="仿宋" w:hAnsi="仿宋" w:eastAsia="仿宋"/>
          <w:color w:val="000000" w:themeColor="text1"/>
          <w:sz w:val="32"/>
          <w:szCs w:val="32"/>
        </w:rPr>
      </w:pPr>
      <w:r>
        <w:rPr>
          <w:rFonts w:hint="eastAsia" w:ascii="仿宋" w:hAnsi="仿宋" w:eastAsia="仿宋"/>
          <w:color w:val="000000" w:themeColor="text1"/>
          <w:sz w:val="32"/>
          <w:szCs w:val="32"/>
        </w:rPr>
        <w:t>二、机构设置</w:t>
      </w:r>
    </w:p>
    <w:p>
      <w:pPr>
        <w:rPr>
          <w:rFonts w:ascii="仿宋" w:hAnsi="仿宋" w:eastAsia="仿宋"/>
          <w:color w:val="000000" w:themeColor="text1"/>
          <w:sz w:val="32"/>
          <w:szCs w:val="32"/>
        </w:rPr>
      </w:pPr>
      <w:r>
        <w:rPr>
          <w:rFonts w:hint="eastAsia" w:ascii="仿宋" w:hAnsi="仿宋" w:eastAsia="仿宋"/>
          <w:color w:val="000000" w:themeColor="text1"/>
          <w:sz w:val="32"/>
          <w:szCs w:val="32"/>
        </w:rPr>
        <w:t>（一）内设机构</w:t>
      </w:r>
    </w:p>
    <w:p>
      <w:pPr>
        <w:ind w:firstLine="960" w:firstLineChars="300"/>
        <w:rPr>
          <w:rFonts w:ascii="宋体" w:hAnsi="宋体"/>
          <w:color w:val="000000" w:themeColor="text1"/>
          <w:sz w:val="32"/>
          <w:szCs w:val="32"/>
        </w:rPr>
      </w:pPr>
      <w:r>
        <w:rPr>
          <w:rFonts w:hint="eastAsia" w:ascii="宋体" w:hAnsi="宋体"/>
          <w:color w:val="000000" w:themeColor="text1"/>
          <w:sz w:val="32"/>
          <w:szCs w:val="32"/>
        </w:rPr>
        <w:t>根据上述职责，区发展改革工信局内设4个岗位：</w:t>
      </w:r>
    </w:p>
    <w:p>
      <w:pPr>
        <w:ind w:firstLine="640" w:firstLineChars="200"/>
        <w:rPr>
          <w:rFonts w:ascii="宋体" w:hAnsi="宋体"/>
          <w:color w:val="000000" w:themeColor="text1"/>
          <w:sz w:val="32"/>
          <w:szCs w:val="32"/>
        </w:rPr>
      </w:pPr>
      <w:r>
        <w:rPr>
          <w:rFonts w:hint="eastAsia" w:ascii="宋体" w:hAnsi="宋体"/>
          <w:color w:val="000000" w:themeColor="text1"/>
          <w:sz w:val="32"/>
          <w:szCs w:val="32"/>
        </w:rPr>
        <w:t>(一)综合岗位</w:t>
      </w:r>
    </w:p>
    <w:p>
      <w:pPr>
        <w:rPr>
          <w:rFonts w:ascii="宋体" w:hAnsi="宋体"/>
          <w:color w:val="000000" w:themeColor="text1"/>
          <w:sz w:val="32"/>
          <w:szCs w:val="32"/>
        </w:rPr>
      </w:pPr>
      <w:r>
        <w:rPr>
          <w:rFonts w:hint="eastAsia" w:ascii="宋体" w:hAnsi="宋体"/>
          <w:color w:val="000000" w:themeColor="text1"/>
          <w:sz w:val="32"/>
          <w:szCs w:val="32"/>
        </w:rPr>
        <w:t xml:space="preserve">    负责内务管理、文秘工作、目标考核、来信来访、原部分区属企业人事劳资及财务工作。</w:t>
      </w:r>
    </w:p>
    <w:p>
      <w:pPr>
        <w:ind w:firstLine="640" w:firstLineChars="200"/>
        <w:rPr>
          <w:rFonts w:ascii="宋体" w:hAnsi="宋体"/>
          <w:color w:val="000000" w:themeColor="text1"/>
          <w:sz w:val="32"/>
          <w:szCs w:val="32"/>
        </w:rPr>
      </w:pPr>
      <w:r>
        <w:rPr>
          <w:rFonts w:hint="eastAsia" w:ascii="宋体" w:hAnsi="宋体"/>
          <w:color w:val="000000" w:themeColor="text1"/>
          <w:sz w:val="32"/>
          <w:szCs w:val="32"/>
        </w:rPr>
        <w:t>（二）发展改革综合岗位</w:t>
      </w:r>
    </w:p>
    <w:p>
      <w:pPr>
        <w:ind w:firstLine="640" w:firstLineChars="200"/>
        <w:rPr>
          <w:rFonts w:ascii="宋体" w:hAnsi="宋体"/>
          <w:color w:val="000000" w:themeColor="text1"/>
          <w:sz w:val="32"/>
          <w:szCs w:val="32"/>
        </w:rPr>
      </w:pPr>
      <w:r>
        <w:rPr>
          <w:rFonts w:hint="eastAsia" w:ascii="宋体" w:hAnsi="宋体"/>
          <w:color w:val="000000" w:themeColor="text1"/>
          <w:sz w:val="32"/>
          <w:szCs w:val="32"/>
        </w:rPr>
        <w:t>主要对应市发改委，负责权限范围内项目审批、核准、备案工作。负责落实发展改革工作除项目建设外的各项职能。</w:t>
      </w:r>
    </w:p>
    <w:p>
      <w:pPr>
        <w:ind w:firstLine="640" w:firstLineChars="200"/>
        <w:rPr>
          <w:rFonts w:ascii="宋体" w:hAnsi="宋体"/>
          <w:color w:val="000000" w:themeColor="text1"/>
          <w:sz w:val="32"/>
          <w:szCs w:val="32"/>
        </w:rPr>
      </w:pPr>
      <w:r>
        <w:rPr>
          <w:rFonts w:hint="eastAsia" w:ascii="宋体" w:hAnsi="宋体"/>
          <w:color w:val="000000" w:themeColor="text1"/>
          <w:sz w:val="32"/>
          <w:szCs w:val="32"/>
        </w:rPr>
        <w:t>（三）项目建设岗位</w:t>
      </w:r>
    </w:p>
    <w:p>
      <w:pPr>
        <w:ind w:firstLine="640" w:firstLineChars="200"/>
        <w:rPr>
          <w:rFonts w:ascii="宋体" w:hAnsi="宋体"/>
          <w:color w:val="000000" w:themeColor="text1"/>
          <w:sz w:val="32"/>
          <w:szCs w:val="32"/>
        </w:rPr>
      </w:pPr>
      <w:r>
        <w:rPr>
          <w:rFonts w:hint="eastAsia" w:ascii="宋体" w:hAnsi="宋体"/>
          <w:color w:val="000000" w:themeColor="text1"/>
          <w:sz w:val="32"/>
          <w:szCs w:val="32"/>
        </w:rPr>
        <w:t>主要对应市政府项目办，负责组织论证、筛选、谋划重大项目，负责重大项目的牵头协调工作。</w:t>
      </w:r>
    </w:p>
    <w:p>
      <w:pPr>
        <w:ind w:firstLine="640" w:firstLineChars="200"/>
        <w:rPr>
          <w:rFonts w:ascii="宋体" w:hAnsi="宋体"/>
          <w:color w:val="000000" w:themeColor="text1"/>
          <w:sz w:val="32"/>
          <w:szCs w:val="32"/>
        </w:rPr>
      </w:pPr>
      <w:r>
        <w:rPr>
          <w:rFonts w:hint="eastAsia" w:ascii="宋体" w:hAnsi="宋体"/>
          <w:color w:val="000000" w:themeColor="text1"/>
          <w:sz w:val="32"/>
          <w:szCs w:val="32"/>
        </w:rPr>
        <w:t>（四）工业信息岗位</w:t>
      </w:r>
    </w:p>
    <w:p>
      <w:pPr>
        <w:ind w:firstLine="640" w:firstLineChars="200"/>
        <w:rPr>
          <w:rFonts w:ascii="宋体" w:hAnsi="宋体"/>
          <w:color w:val="000000" w:themeColor="text1"/>
          <w:sz w:val="32"/>
          <w:szCs w:val="32"/>
        </w:rPr>
      </w:pPr>
      <w:r>
        <w:rPr>
          <w:rFonts w:hint="eastAsia" w:ascii="宋体" w:hAnsi="宋体"/>
          <w:color w:val="000000" w:themeColor="text1"/>
          <w:sz w:val="32"/>
          <w:szCs w:val="32"/>
        </w:rPr>
        <w:t>主要应对市工业信息委员会，负责经济发展计划，指标的制定及落实。扶持规模企业发展和中小企业的壮大。制定经济及财源建设奖励办法，并监管执行、落实国家及省、市产业政策，帮扶企业的发展，扩大财源，注重节能减排工作。</w:t>
      </w:r>
    </w:p>
    <w:p>
      <w:pPr>
        <w:ind w:firstLine="800" w:firstLineChars="250"/>
        <w:jc w:val="left"/>
        <w:rPr>
          <w:rFonts w:ascii="仿宋" w:hAnsi="仿宋" w:eastAsia="仿宋"/>
          <w:color w:val="000000" w:themeColor="text1"/>
          <w:sz w:val="32"/>
          <w:szCs w:val="32"/>
        </w:rPr>
      </w:pPr>
      <w:r>
        <w:rPr>
          <w:rFonts w:hint="eastAsia" w:ascii="仿宋" w:hAnsi="仿宋" w:eastAsia="仿宋"/>
          <w:color w:val="000000" w:themeColor="text1"/>
          <w:sz w:val="32"/>
          <w:szCs w:val="32"/>
        </w:rPr>
        <w:t>三、人员构成</w:t>
      </w:r>
    </w:p>
    <w:p>
      <w:pPr>
        <w:ind w:firstLine="800" w:firstLineChars="250"/>
        <w:jc w:val="left"/>
        <w:rPr>
          <w:rFonts w:ascii="仿宋" w:hAnsi="仿宋" w:eastAsia="仿宋"/>
          <w:color w:val="000000" w:themeColor="text1"/>
          <w:sz w:val="32"/>
          <w:szCs w:val="32"/>
        </w:rPr>
      </w:pPr>
      <w:r>
        <w:rPr>
          <w:rFonts w:hint="eastAsia" w:ascii="仿宋" w:hAnsi="仿宋" w:eastAsia="仿宋"/>
          <w:color w:val="000000" w:themeColor="text1"/>
          <w:sz w:val="32"/>
          <w:szCs w:val="32"/>
        </w:rPr>
        <w:t>区发展改革工信局总编制人数24人，在职（在编）实有人数4人，其中：行政编制4人，参公编制0人，事业编制0人；退休人员16人;离休人员4人。与2019年相比，在职人员减少1人，退休人员增加（减少）0人。</w:t>
      </w:r>
    </w:p>
    <w:p>
      <w:pPr>
        <w:rPr>
          <w:rFonts w:ascii="宋体" w:hAnsi="宋体"/>
          <w:color w:val="000000" w:themeColor="text1"/>
          <w:sz w:val="32"/>
          <w:szCs w:val="32"/>
        </w:rPr>
      </w:pPr>
      <w:r>
        <w:rPr>
          <w:rFonts w:hint="eastAsia" w:ascii="宋体" w:hAnsi="宋体"/>
          <w:b/>
          <w:color w:val="000000" w:themeColor="text1"/>
          <w:sz w:val="32"/>
          <w:szCs w:val="32"/>
        </w:rPr>
        <w:t xml:space="preserve">    第二部分2020年部门预算公开报表</w:t>
      </w:r>
    </w:p>
    <w:p>
      <w:pPr>
        <w:spacing w:line="500" w:lineRule="exact"/>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一、部门收支总表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二、部门收入总表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三、部门支出总表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四、财政拨款收支总表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五、一般公共预算支出表（功能科目）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六、一般公共预算支出表（政府经济科目）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七、一般公共预算基本支出表（部门经济科目）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八、一般公共预算基本支出表（政府经济科目）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九、一般公共预算“三公”经费财政拨款支出表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十、政府性基金预算支出表（功能科目）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十一、政府性基金预算支出表（部门经济科目）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十二、政府性基金预算支出表（政府经济科目）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十三、部门整体支出绩效目标申报表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十四、部门预算项目和专项资金绩效目标申报表</w:t>
      </w:r>
    </w:p>
    <w:p>
      <w:pPr>
        <w:ind w:firstLine="630" w:firstLineChars="196"/>
        <w:jc w:val="center"/>
        <w:rPr>
          <w:rFonts w:ascii="宋体" w:hAnsi="宋体"/>
          <w:b/>
          <w:color w:val="000000" w:themeColor="text1"/>
          <w:sz w:val="32"/>
          <w:szCs w:val="32"/>
        </w:rPr>
      </w:pPr>
    </w:p>
    <w:p>
      <w:pPr>
        <w:ind w:firstLine="630" w:firstLineChars="196"/>
        <w:jc w:val="center"/>
        <w:rPr>
          <w:rFonts w:ascii="宋体" w:hAnsi="宋体"/>
          <w:b/>
          <w:color w:val="000000" w:themeColor="text1"/>
          <w:sz w:val="32"/>
          <w:szCs w:val="32"/>
        </w:rPr>
      </w:pPr>
      <w:r>
        <w:rPr>
          <w:rFonts w:hint="eastAsia" w:ascii="宋体" w:hAnsi="宋体"/>
          <w:b/>
          <w:color w:val="000000" w:themeColor="text1"/>
          <w:sz w:val="32"/>
          <w:szCs w:val="32"/>
        </w:rPr>
        <w:t>第三部分2020年部门预算情况说明</w:t>
      </w:r>
    </w:p>
    <w:p>
      <w:pPr>
        <w:ind w:firstLine="630" w:firstLineChars="196"/>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一、关于部门收支总表的情况说明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区发改局2020年按照综合预算的原则，部门所有收入和支出均纳入部门预算管理。2020年收支总预算15964250.5元，收支平衡。收入包括：（表一  部门收支总表 收入项目）一般公共预算收入2113239.68元,上年结转13851010.82元；支出包括：（表一  部门收支总表 支出功能项目）一般公共服务支出480499.84元、社会保障和就业支出1560569.68元，住房保障支出72170.16元。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2020年收支总预算比2019年收支总预算15885143.58元增加79106.92元，增长0.49%。主要原因是人员经费增加。</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2020年收支总预算比2019年预算执行数2362188.76元减少248949.08元，下降10.58%。主要原因是人员减少。</w:t>
      </w:r>
    </w:p>
    <w:p>
      <w:pPr>
        <w:ind w:firstLine="643" w:firstLineChars="20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二、关于部门收入总表的情况说明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区发改局部门2020年收入预算2113239.68元，其中：（表二  部门收入总表明细）一般公共预算收入2113239.68元，占100 %；政府性基金收入0元，占0 %；国有资本经营收入0元，占0%。</w:t>
      </w:r>
    </w:p>
    <w:p>
      <w:pPr>
        <w:ind w:firstLine="630" w:firstLineChars="196"/>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三、关于部门支出总表的情况说明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区发改局部门2020年支出预算15964250.5元，其中：（表三 部门支出总表明细）基本支出2113239.68元，占13.230%；上年结转项目支出13851010.82元，占86.76%。</w:t>
      </w:r>
    </w:p>
    <w:p>
      <w:pPr>
        <w:ind w:firstLine="643" w:firstLineChars="20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四、关于财政拨款收支总表的情况说明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区发改局部门2020年财政拨款收支总预算15964250.5元，收支平衡。收入包括：（表四 财政拨款收支总表 收入明细 ）一般公共预算收入15964250.5元（本年收入2113239.68元，上年结转13851010.82元），政府性基金收入0元（本年收入0元，上年结转0元），国有资本经营收入0元（本年收入0元，上年结转0元）。支出包括：（表四 财政拨款收支总表 支出明细 ）一般公共服务支出480499.84元、社会保障和就业支出1560569.68元，住房保障支出72170.16元。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2020年财政拨款收支总预算比2019年财政拨款收支总预算15885143.58元增加79106.92元，增长0.49%。主要原因是人员经费增加。</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2020年财政拨款收支总预算比2019年财政拨款预算执行数2362188.76元减少248949.08元，下降10.53 %。主要原因是人员减少。</w:t>
      </w:r>
    </w:p>
    <w:p>
      <w:pPr>
        <w:ind w:firstLine="643" w:firstLineChars="20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五、关于一般公共预算支出表（功能科目）的说明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2020年一般公共预算支出2113239.68元，比2019年预算数增加103519.84元，增长5.15 %；比2019年预算执行数减少248949.08元，下降10.53 %。</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1、一般公共服务支出（类）政府办公厅（室）及相关机构事务（款）行政运行（政府办公厅（室）及相关机构事务）（项）2020年预算数为480499.84元，比2019年预算数增加132627.84元，增长38.12%；比2019年预算执行数增加77352.36元，增长19.18%。主要原因是:人员经费增加</w:t>
      </w:r>
    </w:p>
    <w:p>
      <w:pPr>
        <w:widowControl/>
        <w:spacing w:line="630" w:lineRule="atLeast"/>
        <w:ind w:firstLine="640"/>
        <w:jc w:val="left"/>
        <w:textAlignment w:val="center"/>
        <w:rPr>
          <w:rFonts w:hint="eastAsia" w:ascii="仿宋" w:hAnsi="仿宋" w:eastAsia="仿宋" w:cs="仿宋"/>
          <w:color w:val="000000" w:themeColor="text1"/>
          <w:kern w:val="0"/>
          <w:sz w:val="32"/>
          <w:szCs w:val="32"/>
          <w:shd w:val="clear" w:color="auto" w:fill="FFFFFF"/>
        </w:rPr>
      </w:pPr>
      <w:r>
        <w:rPr>
          <w:rFonts w:hint="eastAsia" w:ascii="宋体" w:hAnsi="宋体" w:cs="仿宋"/>
          <w:color w:val="000000" w:themeColor="text1"/>
          <w:kern w:val="0"/>
          <w:sz w:val="32"/>
          <w:szCs w:val="32"/>
          <w:shd w:val="clear" w:color="auto" w:fill="FFFFFF"/>
        </w:rPr>
        <w:t>2</w:t>
      </w:r>
      <w:r>
        <w:rPr>
          <w:rFonts w:ascii="宋体" w:hAnsi="宋体" w:cs="仿宋"/>
          <w:color w:val="000000" w:themeColor="text1"/>
          <w:kern w:val="0"/>
          <w:sz w:val="32"/>
          <w:szCs w:val="32"/>
          <w:shd w:val="clear" w:color="auto" w:fill="FFFFFF"/>
        </w:rPr>
        <w:t>、</w:t>
      </w:r>
      <w:r>
        <w:rPr>
          <w:rFonts w:ascii="仿宋" w:hAnsi="仿宋" w:eastAsia="仿宋" w:cs="仿宋"/>
          <w:color w:val="000000" w:themeColor="text1"/>
          <w:kern w:val="0"/>
          <w:sz w:val="32"/>
          <w:szCs w:val="32"/>
          <w:shd w:val="clear" w:color="auto" w:fill="FFFFFF"/>
        </w:rPr>
        <w:t>一般公共服务支出（类）政府办公厅（室）及相关机构事务（款）一般行政管理事务（政府办公厅（室）及相关机构事务）（项）</w:t>
      </w:r>
      <w:r>
        <w:rPr>
          <w:rFonts w:hint="eastAsia" w:ascii="仿宋" w:hAnsi="仿宋" w:eastAsia="仿宋" w:cs="仿宋"/>
          <w:color w:val="000000" w:themeColor="text1"/>
          <w:kern w:val="0"/>
          <w:sz w:val="32"/>
          <w:szCs w:val="32"/>
          <w:shd w:val="clear" w:color="auto" w:fill="FFFFFF"/>
        </w:rPr>
        <w:t>2019年</w:t>
      </w:r>
      <w:r>
        <w:rPr>
          <w:rFonts w:ascii="仿宋" w:hAnsi="仿宋" w:eastAsia="仿宋" w:cs="仿宋"/>
          <w:color w:val="000000" w:themeColor="text1"/>
          <w:kern w:val="0"/>
          <w:sz w:val="32"/>
          <w:szCs w:val="32"/>
          <w:shd w:val="clear" w:color="auto" w:fill="FFFFFF"/>
        </w:rPr>
        <w:t>一般行政管理事务</w:t>
      </w:r>
      <w:r>
        <w:rPr>
          <w:rFonts w:hint="eastAsia" w:ascii="仿宋" w:hAnsi="仿宋" w:eastAsia="仿宋" w:cs="仿宋"/>
          <w:color w:val="000000" w:themeColor="text1"/>
          <w:kern w:val="0"/>
          <w:sz w:val="32"/>
          <w:szCs w:val="32"/>
          <w:shd w:val="clear" w:color="auto" w:fill="FFFFFF"/>
        </w:rPr>
        <w:t>无项目预算。</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3、</w:t>
      </w:r>
      <w:r>
        <w:rPr>
          <w:rFonts w:ascii="仿宋" w:hAnsi="仿宋" w:eastAsia="仿宋" w:cs="仿宋"/>
          <w:color w:val="000000" w:themeColor="text1"/>
          <w:kern w:val="0"/>
          <w:sz w:val="32"/>
          <w:szCs w:val="32"/>
          <w:shd w:val="clear" w:color="auto" w:fill="FFFFFF"/>
        </w:rPr>
        <w:t>社会保障和就业支出（类）行政事业单位离退休（款）归口管理的行政单位离退休（项）</w:t>
      </w:r>
      <w:r>
        <w:rPr>
          <w:rFonts w:hint="eastAsia" w:ascii="仿宋" w:hAnsi="仿宋" w:eastAsia="仿宋"/>
          <w:color w:val="000000" w:themeColor="text1"/>
          <w:sz w:val="32"/>
          <w:szCs w:val="32"/>
        </w:rPr>
        <w:t>2020年预算数为1560569.68元，比2019年预算数增加219345.96元，增长16.35%；比2019年预算执行数减少62205.56元，减少3.83%。主要原因:人员经费减少。</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4、</w:t>
      </w:r>
      <w:r>
        <w:rPr>
          <w:rFonts w:ascii="仿宋" w:hAnsi="仿宋" w:eastAsia="仿宋" w:cs="仿宋"/>
          <w:color w:val="000000" w:themeColor="text1"/>
          <w:kern w:val="0"/>
          <w:sz w:val="32"/>
          <w:szCs w:val="32"/>
          <w:shd w:val="clear" w:color="auto" w:fill="FFFFFF"/>
        </w:rPr>
        <w:t>住房保障支出（类）住房改革支出（款）提租补贴（项）</w:t>
      </w:r>
      <w:r>
        <w:rPr>
          <w:rFonts w:hint="eastAsia" w:ascii="仿宋" w:hAnsi="仿宋" w:eastAsia="仿宋"/>
          <w:color w:val="000000" w:themeColor="text1"/>
          <w:sz w:val="32"/>
          <w:szCs w:val="32"/>
        </w:rPr>
        <w:t>2020年预算数为72170.16元，比2019年预算数减少153773.88元，减少68.05%；比2019年预算执行数减少166170.32元，减少69.71%。</w:t>
      </w:r>
    </w:p>
    <w:p>
      <w:pPr>
        <w:ind w:firstLine="643" w:firstLineChars="20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六、关于一般公共预算支出表（政府经济科目）的说明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部门2020年一般公共预算支出15964250.5元，其中：</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1、机关工资福利支出531870元，主要包括：工资奖金津补贴495027.6元，住房公积金元</w:t>
      </w:r>
      <w:r>
        <w:rPr>
          <w:rFonts w:ascii="仿宋" w:hAnsi="仿宋" w:eastAsia="仿宋"/>
          <w:color w:val="000000" w:themeColor="text1"/>
          <w:sz w:val="32"/>
          <w:szCs w:val="32"/>
        </w:rPr>
        <w:t>36842.4</w:t>
      </w:r>
      <w:r>
        <w:rPr>
          <w:rFonts w:hint="eastAsia" w:ascii="仿宋" w:hAnsi="仿宋" w:eastAsia="仿宋"/>
          <w:color w:val="000000" w:themeColor="text1"/>
          <w:sz w:val="32"/>
          <w:szCs w:val="32"/>
        </w:rPr>
        <w:t>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2、机关商品和服务支出20800元，主要包括：办公经费7000元，印刷费8000元，差旅费5000元,维修（护）费800元。</w:t>
      </w:r>
    </w:p>
    <w:p>
      <w:pPr>
        <w:ind w:firstLine="640" w:firstLineChars="200"/>
        <w:jc w:val="left"/>
        <w:rPr>
          <w:rFonts w:ascii="宋体" w:hAnsi="宋体" w:cs="宋体"/>
          <w:color w:val="000000" w:themeColor="text1"/>
          <w:kern w:val="0"/>
          <w:sz w:val="18"/>
          <w:szCs w:val="18"/>
        </w:rPr>
      </w:pPr>
      <w:r>
        <w:rPr>
          <w:rFonts w:hint="eastAsia" w:ascii="仿宋" w:hAnsi="仿宋" w:eastAsia="仿宋"/>
          <w:color w:val="000000" w:themeColor="text1"/>
          <w:sz w:val="32"/>
          <w:szCs w:val="32"/>
        </w:rPr>
        <w:t>3、</w:t>
      </w:r>
      <w:r>
        <w:rPr>
          <w:rFonts w:ascii="宋体" w:hAnsi="宋体" w:cs="仿宋"/>
          <w:color w:val="000000" w:themeColor="text1"/>
          <w:kern w:val="0"/>
          <w:sz w:val="32"/>
          <w:szCs w:val="32"/>
          <w:shd w:val="clear" w:color="auto" w:fill="FFFFFF"/>
        </w:rPr>
        <w:t>对个人和家庭补助支出</w:t>
      </w:r>
      <w:r>
        <w:rPr>
          <w:rFonts w:hint="eastAsia" w:ascii="宋体" w:hAnsi="宋体" w:cs="仿宋"/>
          <w:color w:val="000000" w:themeColor="text1"/>
          <w:kern w:val="0"/>
          <w:sz w:val="32"/>
          <w:szCs w:val="32"/>
          <w:shd w:val="clear" w:color="auto" w:fill="FFFFFF"/>
        </w:rPr>
        <w:t>1560569.68</w:t>
      </w:r>
      <w:r>
        <w:rPr>
          <w:rFonts w:ascii="宋体" w:hAnsi="宋体" w:cs="仿宋"/>
          <w:color w:val="000000" w:themeColor="text1"/>
          <w:kern w:val="0"/>
          <w:sz w:val="32"/>
          <w:szCs w:val="32"/>
          <w:shd w:val="clear" w:color="auto" w:fill="FFFFFF"/>
        </w:rPr>
        <w:t>元，主要包括：离</w:t>
      </w:r>
      <w:r>
        <w:rPr>
          <w:rFonts w:hint="eastAsia" w:ascii="宋体" w:hAnsi="宋体" w:cs="仿宋"/>
          <w:color w:val="000000" w:themeColor="text1"/>
          <w:kern w:val="0"/>
          <w:sz w:val="32"/>
          <w:szCs w:val="32"/>
          <w:shd w:val="clear" w:color="auto" w:fill="FFFFFF"/>
        </w:rPr>
        <w:t>退休人员工资</w:t>
      </w:r>
      <w:r>
        <w:rPr>
          <w:rFonts w:hint="eastAsia" w:ascii="宋体" w:hAnsi="宋体" w:cs="宋体"/>
          <w:color w:val="000000" w:themeColor="text1"/>
          <w:kern w:val="0"/>
          <w:sz w:val="32"/>
          <w:szCs w:val="32"/>
        </w:rPr>
        <w:t>1335017.52</w:t>
      </w:r>
      <w:r>
        <w:rPr>
          <w:rFonts w:ascii="宋体" w:hAnsi="宋体" w:cs="仿宋"/>
          <w:color w:val="000000" w:themeColor="text1"/>
          <w:kern w:val="0"/>
          <w:sz w:val="32"/>
          <w:szCs w:val="32"/>
          <w:shd w:val="clear" w:color="auto" w:fill="FFFFFF"/>
        </w:rPr>
        <w:t>元，</w:t>
      </w:r>
      <w:r>
        <w:rPr>
          <w:rFonts w:hint="eastAsia" w:ascii="宋体" w:hAnsi="宋体" w:cs="仿宋"/>
          <w:color w:val="000000" w:themeColor="text1"/>
          <w:kern w:val="0"/>
          <w:sz w:val="32"/>
          <w:szCs w:val="32"/>
          <w:shd w:val="clear" w:color="auto" w:fill="FFFFFF"/>
        </w:rPr>
        <w:t>其他对个人和家庭补助</w:t>
      </w:r>
      <w:r>
        <w:rPr>
          <w:rFonts w:ascii="宋体" w:hAnsi="宋体" w:cs="仿宋"/>
          <w:color w:val="000000" w:themeColor="text1"/>
          <w:kern w:val="0"/>
          <w:sz w:val="32"/>
          <w:szCs w:val="32"/>
          <w:shd w:val="clear" w:color="auto" w:fill="FFFFFF"/>
        </w:rPr>
        <w:t>173552.16</w:t>
      </w:r>
      <w:r>
        <w:rPr>
          <w:rFonts w:hint="eastAsia" w:ascii="宋体" w:hAnsi="宋体" w:cs="仿宋"/>
          <w:color w:val="000000" w:themeColor="text1"/>
          <w:kern w:val="0"/>
          <w:sz w:val="32"/>
          <w:szCs w:val="32"/>
          <w:shd w:val="clear" w:color="auto" w:fill="FFFFFF"/>
        </w:rPr>
        <w:t>元，</w:t>
      </w:r>
      <w:r>
        <w:rPr>
          <w:rFonts w:ascii="宋体" w:hAnsi="宋体" w:cs="仿宋"/>
          <w:color w:val="000000" w:themeColor="text1"/>
          <w:kern w:val="0"/>
          <w:sz w:val="32"/>
          <w:szCs w:val="32"/>
          <w:shd w:val="clear" w:color="auto" w:fill="FFFFFF"/>
        </w:rPr>
        <w:t>生活补助</w:t>
      </w:r>
      <w:r>
        <w:rPr>
          <w:rFonts w:hint="eastAsia" w:ascii="宋体" w:hAnsi="宋体" w:cs="仿宋"/>
          <w:color w:val="000000" w:themeColor="text1"/>
          <w:kern w:val="0"/>
          <w:sz w:val="32"/>
          <w:szCs w:val="32"/>
          <w:shd w:val="clear" w:color="auto" w:fill="FFFFFF"/>
        </w:rPr>
        <w:t>52000</w:t>
      </w:r>
      <w:r>
        <w:rPr>
          <w:rFonts w:ascii="宋体" w:hAnsi="宋体" w:cs="仿宋"/>
          <w:color w:val="000000" w:themeColor="text1"/>
          <w:kern w:val="0"/>
          <w:sz w:val="32"/>
          <w:szCs w:val="32"/>
          <w:shd w:val="clear" w:color="auto" w:fill="FFFFFF"/>
        </w:rPr>
        <w:t>元</w:t>
      </w:r>
      <w:r>
        <w:rPr>
          <w:rFonts w:hint="eastAsia" w:ascii="宋体" w:hAnsi="宋体" w:cs="仿宋"/>
          <w:color w:val="000000" w:themeColor="text1"/>
          <w:kern w:val="0"/>
          <w:sz w:val="32"/>
          <w:szCs w:val="32"/>
          <w:shd w:val="clear" w:color="auto" w:fill="FFFFFF"/>
        </w:rPr>
        <w:t>。</w:t>
      </w:r>
    </w:p>
    <w:p>
      <w:pPr>
        <w:ind w:firstLine="643" w:firstLineChars="20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七、关于一般公共预算基本支出表（部门经济科目）的说明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2020年一般公共预算基本支出2113239.68元，其中：人员经费2092439.68元，占99.01%；公用经费20800元，占0.98 </w:t>
      </w:r>
      <w:r>
        <w:rPr>
          <w:rFonts w:ascii="仿宋" w:hAnsi="仿宋" w:eastAsia="仿宋"/>
          <w:color w:val="000000" w:themeColor="text1"/>
          <w:sz w:val="32"/>
          <w:szCs w:val="32"/>
        </w:rPr>
        <w:t>%</w:t>
      </w:r>
      <w:r>
        <w:rPr>
          <w:rFonts w:hint="eastAsia" w:ascii="仿宋" w:hAnsi="仿宋" w:eastAsia="仿宋"/>
          <w:color w:val="000000" w:themeColor="text1"/>
          <w:sz w:val="32"/>
          <w:szCs w:val="32"/>
        </w:rPr>
        <w:t>。具体为：</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1、工资福利支出531870元，主要包括：基本工资420579.6元，津贴补贴45648元，奖金</w:t>
      </w:r>
      <w:r>
        <w:rPr>
          <w:rFonts w:ascii="仿宋" w:hAnsi="仿宋" w:eastAsia="仿宋"/>
          <w:color w:val="000000" w:themeColor="text1"/>
          <w:sz w:val="32"/>
          <w:szCs w:val="32"/>
        </w:rPr>
        <w:t>28800</w:t>
      </w:r>
      <w:r>
        <w:rPr>
          <w:rFonts w:hint="eastAsia" w:ascii="仿宋" w:hAnsi="仿宋" w:eastAsia="仿宋"/>
          <w:color w:val="000000" w:themeColor="text1"/>
          <w:sz w:val="32"/>
          <w:szCs w:val="32"/>
        </w:rPr>
        <w:t>元, 住房公积金元</w:t>
      </w:r>
      <w:r>
        <w:rPr>
          <w:rFonts w:ascii="仿宋" w:hAnsi="仿宋" w:eastAsia="仿宋"/>
          <w:color w:val="000000" w:themeColor="text1"/>
          <w:sz w:val="32"/>
          <w:szCs w:val="32"/>
        </w:rPr>
        <w:t>36842.4</w:t>
      </w:r>
      <w:r>
        <w:rPr>
          <w:rFonts w:hint="eastAsia" w:ascii="仿宋" w:hAnsi="仿宋" w:eastAsia="仿宋"/>
          <w:color w:val="000000" w:themeColor="text1"/>
          <w:sz w:val="32"/>
          <w:szCs w:val="32"/>
        </w:rPr>
        <w:t>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2、商品和服务支出20800元，主要包括：办公经费7000元，印刷费8000元，差旅费5000元,维修（护）费800元。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3、对个人和家庭补助支出</w:t>
      </w:r>
      <w:r>
        <w:rPr>
          <w:rFonts w:hint="eastAsia" w:ascii="宋体" w:hAnsi="宋体" w:cs="仿宋"/>
          <w:color w:val="000000" w:themeColor="text1"/>
          <w:kern w:val="0"/>
          <w:sz w:val="32"/>
          <w:szCs w:val="32"/>
          <w:shd w:val="clear" w:color="auto" w:fill="FFFFFF"/>
        </w:rPr>
        <w:t>1560569.68</w:t>
      </w:r>
      <w:r>
        <w:rPr>
          <w:rFonts w:hint="eastAsia" w:ascii="仿宋" w:hAnsi="仿宋" w:eastAsia="仿宋"/>
          <w:color w:val="000000" w:themeColor="text1"/>
          <w:sz w:val="32"/>
          <w:szCs w:val="32"/>
        </w:rPr>
        <w:t>元，主要包括：离休费</w:t>
      </w:r>
      <w:r>
        <w:rPr>
          <w:rFonts w:ascii="仿宋" w:hAnsi="仿宋" w:eastAsia="仿宋"/>
          <w:color w:val="000000" w:themeColor="text1"/>
          <w:sz w:val="32"/>
          <w:szCs w:val="32"/>
        </w:rPr>
        <w:t>387048.00</w:t>
      </w:r>
      <w:r>
        <w:rPr>
          <w:rFonts w:hint="eastAsia" w:ascii="仿宋" w:hAnsi="仿宋" w:eastAsia="仿宋"/>
          <w:color w:val="000000" w:themeColor="text1"/>
          <w:sz w:val="32"/>
          <w:szCs w:val="32"/>
        </w:rPr>
        <w:t>元，退休费</w:t>
      </w:r>
      <w:r>
        <w:rPr>
          <w:rFonts w:ascii="仿宋" w:hAnsi="仿宋" w:eastAsia="仿宋"/>
          <w:color w:val="000000" w:themeColor="text1"/>
          <w:sz w:val="32"/>
          <w:szCs w:val="32"/>
        </w:rPr>
        <w:t>947969.52</w:t>
      </w:r>
      <w:r>
        <w:rPr>
          <w:rFonts w:hint="eastAsia" w:ascii="仿宋" w:hAnsi="仿宋" w:eastAsia="仿宋"/>
          <w:color w:val="000000" w:themeColor="text1"/>
          <w:sz w:val="32"/>
          <w:szCs w:val="32"/>
        </w:rPr>
        <w:t>元,离休补贴及遗嘱补助52000,</w:t>
      </w:r>
      <w:r>
        <w:rPr>
          <w:rFonts w:hint="eastAsia" w:ascii="宋体" w:hAnsi="宋体" w:cs="仿宋"/>
          <w:color w:val="000000" w:themeColor="text1"/>
          <w:kern w:val="0"/>
          <w:sz w:val="32"/>
          <w:szCs w:val="32"/>
          <w:shd w:val="clear" w:color="auto" w:fill="FFFFFF"/>
        </w:rPr>
        <w:t xml:space="preserve"> 其他对个人和家庭补助</w:t>
      </w:r>
      <w:r>
        <w:rPr>
          <w:rFonts w:ascii="宋体" w:hAnsi="宋体" w:cs="仿宋"/>
          <w:color w:val="000000" w:themeColor="text1"/>
          <w:kern w:val="0"/>
          <w:sz w:val="32"/>
          <w:szCs w:val="32"/>
          <w:shd w:val="clear" w:color="auto" w:fill="FFFFFF"/>
        </w:rPr>
        <w:t>173552.16</w:t>
      </w:r>
      <w:r>
        <w:rPr>
          <w:rFonts w:hint="eastAsia" w:ascii="宋体" w:hAnsi="宋体" w:cs="仿宋"/>
          <w:color w:val="000000" w:themeColor="text1"/>
          <w:kern w:val="0"/>
          <w:sz w:val="32"/>
          <w:szCs w:val="32"/>
          <w:shd w:val="clear" w:color="auto" w:fill="FFFFFF"/>
        </w:rPr>
        <w:t>元</w:t>
      </w:r>
      <w:r>
        <w:rPr>
          <w:rFonts w:hint="eastAsia" w:ascii="仿宋" w:hAnsi="仿宋" w:eastAsia="仿宋"/>
          <w:color w:val="000000" w:themeColor="text1"/>
          <w:sz w:val="32"/>
          <w:szCs w:val="32"/>
        </w:rPr>
        <w:t>。</w:t>
      </w:r>
    </w:p>
    <w:p>
      <w:pPr>
        <w:ind w:firstLine="643" w:firstLineChars="20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八、关于一般公共预算基本支出表（政府经济科目）的说明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2020年一般公共预算基本支出2113239.68元，其中：</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1、工资福利支出531870元，主要包括：基本工资420579.6元，津贴补贴45648元，奖金</w:t>
      </w:r>
      <w:r>
        <w:rPr>
          <w:rFonts w:ascii="仿宋" w:hAnsi="仿宋" w:eastAsia="仿宋"/>
          <w:color w:val="000000" w:themeColor="text1"/>
          <w:sz w:val="32"/>
          <w:szCs w:val="32"/>
        </w:rPr>
        <w:t>28800</w:t>
      </w:r>
      <w:r>
        <w:rPr>
          <w:rFonts w:hint="eastAsia" w:ascii="仿宋" w:hAnsi="仿宋" w:eastAsia="仿宋"/>
          <w:color w:val="000000" w:themeColor="text1"/>
          <w:sz w:val="32"/>
          <w:szCs w:val="32"/>
        </w:rPr>
        <w:t>元, 住房公积金元</w:t>
      </w:r>
      <w:r>
        <w:rPr>
          <w:rFonts w:ascii="仿宋" w:hAnsi="仿宋" w:eastAsia="仿宋"/>
          <w:color w:val="000000" w:themeColor="text1"/>
          <w:sz w:val="32"/>
          <w:szCs w:val="32"/>
        </w:rPr>
        <w:t>36842.4</w:t>
      </w:r>
      <w:r>
        <w:rPr>
          <w:rFonts w:hint="eastAsia" w:ascii="仿宋" w:hAnsi="仿宋" w:eastAsia="仿宋"/>
          <w:color w:val="000000" w:themeColor="text1"/>
          <w:sz w:val="32"/>
          <w:szCs w:val="32"/>
        </w:rPr>
        <w:t>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2、商品和服务支出20800元，主要包括：办公经费7000元，印刷费8000元，差旅费5000元,维修（护）费800元。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3、对个人和家庭补助支出</w:t>
      </w:r>
      <w:r>
        <w:rPr>
          <w:rFonts w:hint="eastAsia" w:ascii="宋体" w:hAnsi="宋体" w:cs="仿宋"/>
          <w:color w:val="000000" w:themeColor="text1"/>
          <w:kern w:val="0"/>
          <w:sz w:val="32"/>
          <w:szCs w:val="32"/>
          <w:shd w:val="clear" w:color="auto" w:fill="FFFFFF"/>
        </w:rPr>
        <w:t>1560569.68</w:t>
      </w:r>
      <w:r>
        <w:rPr>
          <w:rFonts w:hint="eastAsia" w:ascii="仿宋" w:hAnsi="仿宋" w:eastAsia="仿宋"/>
          <w:color w:val="000000" w:themeColor="text1"/>
          <w:sz w:val="32"/>
          <w:szCs w:val="32"/>
        </w:rPr>
        <w:t>元，主要包括：离休费</w:t>
      </w:r>
      <w:r>
        <w:rPr>
          <w:rFonts w:ascii="仿宋" w:hAnsi="仿宋" w:eastAsia="仿宋"/>
          <w:color w:val="000000" w:themeColor="text1"/>
          <w:sz w:val="32"/>
          <w:szCs w:val="32"/>
        </w:rPr>
        <w:t>387048.00</w:t>
      </w:r>
      <w:r>
        <w:rPr>
          <w:rFonts w:hint="eastAsia" w:ascii="仿宋" w:hAnsi="仿宋" w:eastAsia="仿宋"/>
          <w:color w:val="000000" w:themeColor="text1"/>
          <w:sz w:val="32"/>
          <w:szCs w:val="32"/>
        </w:rPr>
        <w:t>元，退休费</w:t>
      </w:r>
      <w:r>
        <w:rPr>
          <w:rFonts w:ascii="仿宋" w:hAnsi="仿宋" w:eastAsia="仿宋"/>
          <w:color w:val="000000" w:themeColor="text1"/>
          <w:sz w:val="32"/>
          <w:szCs w:val="32"/>
        </w:rPr>
        <w:t>947969.52</w:t>
      </w:r>
      <w:r>
        <w:rPr>
          <w:rFonts w:hint="eastAsia" w:ascii="仿宋" w:hAnsi="仿宋" w:eastAsia="仿宋"/>
          <w:color w:val="000000" w:themeColor="text1"/>
          <w:sz w:val="32"/>
          <w:szCs w:val="32"/>
        </w:rPr>
        <w:t>元,离休补贴及遗嘱补助52000,</w:t>
      </w:r>
      <w:r>
        <w:rPr>
          <w:rFonts w:hint="eastAsia" w:ascii="宋体" w:hAnsi="宋体" w:cs="仿宋"/>
          <w:color w:val="000000" w:themeColor="text1"/>
          <w:kern w:val="0"/>
          <w:sz w:val="32"/>
          <w:szCs w:val="32"/>
          <w:shd w:val="clear" w:color="auto" w:fill="FFFFFF"/>
        </w:rPr>
        <w:t xml:space="preserve"> 其他对个人和家庭补助</w:t>
      </w:r>
      <w:r>
        <w:rPr>
          <w:rFonts w:ascii="宋体" w:hAnsi="宋体" w:cs="仿宋"/>
          <w:color w:val="000000" w:themeColor="text1"/>
          <w:kern w:val="0"/>
          <w:sz w:val="32"/>
          <w:szCs w:val="32"/>
          <w:shd w:val="clear" w:color="auto" w:fill="FFFFFF"/>
        </w:rPr>
        <w:t>173552.16</w:t>
      </w:r>
      <w:r>
        <w:rPr>
          <w:rFonts w:hint="eastAsia" w:ascii="宋体" w:hAnsi="宋体" w:cs="仿宋"/>
          <w:color w:val="000000" w:themeColor="text1"/>
          <w:kern w:val="0"/>
          <w:sz w:val="32"/>
          <w:szCs w:val="32"/>
          <w:shd w:val="clear" w:color="auto" w:fill="FFFFFF"/>
        </w:rPr>
        <w:t>元</w:t>
      </w:r>
      <w:r>
        <w:rPr>
          <w:rFonts w:hint="eastAsia" w:ascii="仿宋" w:hAnsi="仿宋" w:eastAsia="仿宋"/>
          <w:color w:val="000000" w:themeColor="text1"/>
          <w:sz w:val="32"/>
          <w:szCs w:val="32"/>
        </w:rPr>
        <w:t>。</w:t>
      </w:r>
    </w:p>
    <w:p>
      <w:pPr>
        <w:ind w:firstLine="630" w:firstLineChars="196"/>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九、关于一般公共预算“三公”经费财政拨款支出情况说明</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2020年一般公共预算“三公”经费预算数为0元，其中：因公出国（境）费用0元，公务用车运行维护费0元，公务用车购置费0元，公务接待费0元。</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2020年一般公共预算“三公”经费预算数比2019年预算数增加（减少）0元，增长（下降）0%。主要原因是无三公经费支出。</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2020年一般公共预算“三公”经费预算数比2019年预算执行数增加（减少）0元，增长（下降）0%。主要原因是无三公经费。</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1、因公出国（境）费用</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2020年因公出国（境）费用预算数为0元，2019年预算数、预算执行数均为0元，与上年比无增减变化。因公出国（境）团组数及人数均为0。</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2020年因公出国（境）团组数为0，人数为0，因公出国（境）费用预算数为0元。比2019年预算数增加（减少）0元，增长（下降）0%；比2019年预算执行数增加（减少）0元，增长（下降）0%。主要原因是无三公经费。</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2、公务用车购置</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2020年公务用车购置数为0台，公务用车购置预算数为0元，2019年预算数、预算执行数均为0元，与上年比无增减变化。</w:t>
      </w:r>
    </w:p>
    <w:p>
      <w:pPr>
        <w:ind w:firstLine="960" w:firstLineChars="3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2020年公务用车购置数量为0台；公务用车购置预算数为0元。比2019年预算数增加（减少）0元，增长（下降）0%；比2019年预算执行数增加（减少）0元，增长（下降）0%。主要原因是无公务用车。</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3、公务用车运行维护费</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2020年公务用车保有量均为0，公务用车运行维护费预算数为0元，2019年预算数、预算执行数均为0元，与上年比无增减变化。</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2020年公务用车保有量为0台，公务用车运行维护费预算数为0元，比2019年预算数增加（减少）0元，增长（下降）0%；比2019年预算执行数增加（减少）0元，增长（下降）0%。主要原因是无公务用车。</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4、公务接待费</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2020年国内公务接待的批次、人数均为0，公务接待费预算数为0元，2019年预算数、预算执行数均为0元，与上年比无增减变化。</w:t>
      </w:r>
    </w:p>
    <w:p>
      <w:pPr>
        <w:ind w:firstLine="640" w:firstLineChars="20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2020年我单位国内公务接待的批次为0，人数为0。公务接待费预算数为0元，比2019年预算数增加（减少）0元，增长（下降）0%；比2019年预算执行数增加（减少）0元，增长（下降）0%。主要原因是无公务接待。</w:t>
      </w:r>
    </w:p>
    <w:p>
      <w:pPr>
        <w:ind w:left="479" w:leftChars="228" w:firstLine="161" w:firstLineChars="5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十、关于政府性基金预算支出表（功能科目）说明</w:t>
      </w:r>
    </w:p>
    <w:p>
      <w:pPr>
        <w:widowControl/>
        <w:spacing w:line="630" w:lineRule="atLeast"/>
        <w:ind w:firstLine="480"/>
        <w:jc w:val="left"/>
        <w:textAlignment w:val="center"/>
        <w:rPr>
          <w:rFonts w:ascii="宋体" w:hAnsi="宋体"/>
          <w:color w:val="000000" w:themeColor="text1"/>
          <w:sz w:val="32"/>
          <w:szCs w:val="32"/>
        </w:rPr>
      </w:pPr>
      <w:r>
        <w:rPr>
          <w:rFonts w:ascii="宋体" w:hAnsi="宋体" w:cs="仿宋"/>
          <w:color w:val="000000" w:themeColor="text1"/>
          <w:kern w:val="0"/>
          <w:sz w:val="32"/>
          <w:szCs w:val="32"/>
          <w:shd w:val="clear" w:color="auto" w:fill="FFFFFF"/>
        </w:rPr>
        <w:t>20</w:t>
      </w:r>
      <w:r>
        <w:rPr>
          <w:rFonts w:hint="eastAsia" w:ascii="宋体" w:hAnsi="宋体" w:cs="仿宋"/>
          <w:color w:val="000000" w:themeColor="text1"/>
          <w:kern w:val="0"/>
          <w:sz w:val="32"/>
          <w:szCs w:val="32"/>
          <w:shd w:val="clear" w:color="auto" w:fill="FFFFFF"/>
        </w:rPr>
        <w:t>20</w:t>
      </w:r>
      <w:r>
        <w:rPr>
          <w:rFonts w:ascii="宋体" w:hAnsi="宋体" w:cs="仿宋"/>
          <w:color w:val="000000" w:themeColor="text1"/>
          <w:kern w:val="0"/>
          <w:sz w:val="32"/>
          <w:szCs w:val="32"/>
          <w:shd w:val="clear" w:color="auto" w:fill="FFFFFF"/>
        </w:rPr>
        <w:t>年没有使用政府性基金预算拨款安排的支出，政府性基金收支预算均为0元，与上年相同，无增减变化。</w:t>
      </w:r>
    </w:p>
    <w:p>
      <w:pPr>
        <w:ind w:firstLine="639" w:firstLineChars="199"/>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十一、关于政府性基金预算支出表（部门经济科目）的说明</w:t>
      </w:r>
    </w:p>
    <w:p>
      <w:pPr>
        <w:widowControl/>
        <w:spacing w:line="630" w:lineRule="atLeast"/>
        <w:ind w:firstLine="480"/>
        <w:jc w:val="left"/>
        <w:textAlignment w:val="center"/>
        <w:rPr>
          <w:rFonts w:ascii="宋体" w:hAnsi="宋体"/>
          <w:color w:val="000000" w:themeColor="text1"/>
          <w:sz w:val="32"/>
          <w:szCs w:val="32"/>
        </w:rPr>
      </w:pPr>
      <w:r>
        <w:rPr>
          <w:rFonts w:ascii="宋体" w:hAnsi="宋体" w:cs="仿宋"/>
          <w:color w:val="000000" w:themeColor="text1"/>
          <w:kern w:val="0"/>
          <w:sz w:val="32"/>
          <w:szCs w:val="32"/>
          <w:shd w:val="clear" w:color="auto" w:fill="FFFFFF"/>
        </w:rPr>
        <w:t>20</w:t>
      </w:r>
      <w:r>
        <w:rPr>
          <w:rFonts w:hint="eastAsia" w:ascii="宋体" w:hAnsi="宋体" w:cs="仿宋"/>
          <w:color w:val="000000" w:themeColor="text1"/>
          <w:kern w:val="0"/>
          <w:sz w:val="32"/>
          <w:szCs w:val="32"/>
          <w:shd w:val="clear" w:color="auto" w:fill="FFFFFF"/>
        </w:rPr>
        <w:t>20</w:t>
      </w:r>
      <w:r>
        <w:rPr>
          <w:rFonts w:ascii="宋体" w:hAnsi="宋体" w:cs="仿宋"/>
          <w:color w:val="000000" w:themeColor="text1"/>
          <w:kern w:val="0"/>
          <w:sz w:val="32"/>
          <w:szCs w:val="32"/>
          <w:shd w:val="clear" w:color="auto" w:fill="FFFFFF"/>
        </w:rPr>
        <w:t>年没有使用政府性基金预算拨款安排的支出，政府性基金收支预算均为0元，与上年相同，无增减变化。</w:t>
      </w:r>
    </w:p>
    <w:p>
      <w:pPr>
        <w:ind w:firstLine="639" w:firstLineChars="199"/>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十二、关于政府性基金预算支出表（政府经济科目）的说明</w:t>
      </w:r>
    </w:p>
    <w:p>
      <w:pPr>
        <w:widowControl/>
        <w:spacing w:line="630" w:lineRule="atLeast"/>
        <w:ind w:firstLine="480"/>
        <w:jc w:val="left"/>
        <w:textAlignment w:val="center"/>
        <w:rPr>
          <w:rFonts w:ascii="宋体" w:hAnsi="宋体"/>
          <w:color w:val="000000" w:themeColor="text1"/>
          <w:sz w:val="32"/>
          <w:szCs w:val="32"/>
        </w:rPr>
      </w:pPr>
      <w:r>
        <w:rPr>
          <w:rFonts w:ascii="宋体" w:hAnsi="宋体" w:cs="仿宋"/>
          <w:color w:val="000000" w:themeColor="text1"/>
          <w:kern w:val="0"/>
          <w:sz w:val="32"/>
          <w:szCs w:val="32"/>
          <w:shd w:val="clear" w:color="auto" w:fill="FFFFFF"/>
        </w:rPr>
        <w:t>20</w:t>
      </w:r>
      <w:r>
        <w:rPr>
          <w:rFonts w:hint="eastAsia" w:ascii="宋体" w:hAnsi="宋体" w:cs="仿宋"/>
          <w:color w:val="000000" w:themeColor="text1"/>
          <w:kern w:val="0"/>
          <w:sz w:val="32"/>
          <w:szCs w:val="32"/>
          <w:shd w:val="clear" w:color="auto" w:fill="FFFFFF"/>
        </w:rPr>
        <w:t>20</w:t>
      </w:r>
      <w:r>
        <w:rPr>
          <w:rFonts w:ascii="宋体" w:hAnsi="宋体" w:cs="仿宋"/>
          <w:color w:val="000000" w:themeColor="text1"/>
          <w:kern w:val="0"/>
          <w:sz w:val="32"/>
          <w:szCs w:val="32"/>
          <w:shd w:val="clear" w:color="auto" w:fill="FFFFFF"/>
        </w:rPr>
        <w:t>年没有使用政府性基金预算拨款安排的支出，政府性基金收支预算均为0元，与上年相同，无增减变化。</w:t>
      </w:r>
    </w:p>
    <w:p>
      <w:pPr>
        <w:ind w:firstLine="630" w:firstLineChars="196"/>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十三、机关运行经费安排情况说明</w:t>
      </w:r>
      <w:r>
        <w:rPr>
          <w:rFonts w:hint="eastAsia" w:ascii="仿宋" w:hAnsi="仿宋" w:eastAsia="仿宋"/>
          <w:color w:val="000000" w:themeColor="text1"/>
          <w:sz w:val="32"/>
          <w:szCs w:val="32"/>
        </w:rPr>
        <w:t>（广义范围，包括事业单位）</w:t>
      </w:r>
    </w:p>
    <w:p>
      <w:pPr>
        <w:widowControl/>
        <w:spacing w:line="630" w:lineRule="atLeast"/>
        <w:ind w:firstLine="640"/>
        <w:jc w:val="left"/>
        <w:textAlignment w:val="center"/>
        <w:rPr>
          <w:color w:val="000000" w:themeColor="text1"/>
          <w:sz w:val="32"/>
          <w:szCs w:val="32"/>
        </w:rPr>
      </w:pPr>
      <w:r>
        <w:rPr>
          <w:rFonts w:hint="eastAsia" w:ascii="仿宋" w:hAnsi="仿宋" w:eastAsia="仿宋"/>
          <w:color w:val="000000" w:themeColor="text1"/>
          <w:sz w:val="32"/>
          <w:szCs w:val="32"/>
        </w:rPr>
        <w:t>2020年本部门机关运行经费预算安排32010.82元，办公经费12000元，印刷费14210.82元，差旅费5000元,维修（护）费800元。比上年预算数减少24412.92元，下降43.26%；比上年预算执行数减少48399.18元，下降60.19%。主要原因是</w:t>
      </w:r>
      <w:r>
        <w:rPr>
          <w:rFonts w:ascii="仿宋" w:hAnsi="仿宋" w:eastAsia="仿宋" w:cs="仿宋"/>
          <w:color w:val="000000" w:themeColor="text1"/>
          <w:kern w:val="0"/>
          <w:sz w:val="32"/>
          <w:szCs w:val="32"/>
          <w:shd w:val="clear" w:color="auto" w:fill="FFFFFF"/>
        </w:rPr>
        <w:t>压缩机关运行经费，减少不必要的开支。</w:t>
      </w:r>
    </w:p>
    <w:p>
      <w:pPr>
        <w:ind w:firstLine="640" w:firstLineChars="200"/>
        <w:jc w:val="left"/>
        <w:rPr>
          <w:rFonts w:ascii="仿宋" w:hAnsi="仿宋" w:eastAsia="仿宋"/>
          <w:color w:val="000000" w:themeColor="text1"/>
          <w:sz w:val="32"/>
          <w:szCs w:val="32"/>
        </w:rPr>
      </w:pPr>
    </w:p>
    <w:p>
      <w:pPr>
        <w:ind w:firstLine="707" w:firstLineChars="22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十四、关于政府采购预算支出情况说明</w:t>
      </w:r>
    </w:p>
    <w:p>
      <w:pPr>
        <w:ind w:firstLine="707" w:firstLineChars="22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无</w:t>
      </w:r>
    </w:p>
    <w:p>
      <w:pPr>
        <w:ind w:left="1" w:firstLine="707" w:firstLineChars="22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十五、关于国有资产占有使用情况说明</w:t>
      </w:r>
    </w:p>
    <w:p>
      <w:pPr>
        <w:ind w:firstLine="800" w:firstLineChars="250"/>
        <w:rPr>
          <w:rFonts w:ascii="仿宋" w:hAnsi="仿宋" w:eastAsia="仿宋"/>
          <w:color w:val="000000" w:themeColor="text1"/>
          <w:sz w:val="32"/>
          <w:szCs w:val="32"/>
        </w:rPr>
      </w:pPr>
      <w:r>
        <w:rPr>
          <w:rFonts w:hint="eastAsia" w:ascii="仿宋" w:hAnsi="仿宋" w:eastAsia="仿宋"/>
          <w:color w:val="000000" w:themeColor="text1"/>
          <w:sz w:val="32"/>
          <w:szCs w:val="32"/>
        </w:rPr>
        <w:t>无</w:t>
      </w:r>
    </w:p>
    <w:p>
      <w:pPr>
        <w:ind w:firstLine="707" w:firstLineChars="22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十六、关于部门整体支出绩效目标和项目资金绩效目标说明</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按照佳木斯市财政局《编制2020年市直部门预算和部门三年滚动财政规划的通知》，本部门已公开部门整体支出绩效目标。2020年纳入部门预算的项目（含资本性支出）0个，资金总额0万元。实行绩效目标管理的项目0个，资金总额0万元，涉及一般公共预算拨款0万元。</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按照佳木斯市财政局《关于开展2019年绩效项目支出绩效管理的通知》（佳财发[2018]105号），2020年纳入部门预算的项目（含资本性支出）0个，资金总额0万元。实行绩效目标管理的项目0个，资金总额0万元，涉及一般公共预算拨款0万元。</w:t>
      </w:r>
    </w:p>
    <w:p>
      <w:pPr>
        <w:ind w:firstLine="482" w:firstLineChars="150"/>
        <w:jc w:val="left"/>
        <w:rPr>
          <w:rFonts w:ascii="仿宋" w:hAnsi="仿宋" w:eastAsia="仿宋"/>
          <w:b/>
          <w:color w:val="000000" w:themeColor="text1"/>
          <w:sz w:val="32"/>
          <w:szCs w:val="32"/>
        </w:rPr>
      </w:pPr>
      <w:r>
        <w:rPr>
          <w:rFonts w:hint="eastAsia" w:ascii="仿宋" w:hAnsi="仿宋" w:eastAsia="仿宋"/>
          <w:b/>
          <w:color w:val="000000" w:themeColor="text1"/>
          <w:sz w:val="32"/>
          <w:szCs w:val="32"/>
        </w:rPr>
        <w:t>十七、专项转移支付项目情况</w:t>
      </w:r>
    </w:p>
    <w:p>
      <w:pPr>
        <w:ind w:firstLine="480" w:firstLineChars="150"/>
        <w:jc w:val="left"/>
        <w:rPr>
          <w:rFonts w:ascii="仿宋" w:hAnsi="仿宋" w:eastAsia="仿宋"/>
          <w:color w:val="000000" w:themeColor="text1"/>
          <w:sz w:val="32"/>
          <w:szCs w:val="32"/>
        </w:rPr>
      </w:pPr>
      <w:r>
        <w:rPr>
          <w:rFonts w:hint="eastAsia" w:ascii="仿宋" w:hAnsi="仿宋" w:eastAsia="仿宋"/>
          <w:color w:val="000000" w:themeColor="text1"/>
          <w:sz w:val="32"/>
          <w:szCs w:val="32"/>
        </w:rPr>
        <w:t>2020年没有专项转移支付项目。</w:t>
      </w:r>
    </w:p>
    <w:p>
      <w:pPr>
        <w:jc w:val="center"/>
        <w:rPr>
          <w:rFonts w:ascii="宋体" w:hAnsi="宋体"/>
          <w:b/>
          <w:color w:val="000000" w:themeColor="text1"/>
          <w:sz w:val="32"/>
          <w:szCs w:val="32"/>
        </w:rPr>
      </w:pPr>
    </w:p>
    <w:p>
      <w:pPr>
        <w:jc w:val="center"/>
        <w:rPr>
          <w:rFonts w:ascii="宋体" w:hAnsi="宋体"/>
          <w:b/>
          <w:color w:val="000000" w:themeColor="text1"/>
          <w:sz w:val="32"/>
          <w:szCs w:val="32"/>
        </w:rPr>
      </w:pPr>
      <w:r>
        <w:rPr>
          <w:rFonts w:hint="eastAsia" w:ascii="宋体" w:hAnsi="宋体"/>
          <w:b/>
          <w:color w:val="000000" w:themeColor="text1"/>
          <w:sz w:val="32"/>
          <w:szCs w:val="32"/>
        </w:rPr>
        <w:t>第四部分　名词解释</w:t>
      </w:r>
    </w:p>
    <w:p>
      <w:pPr>
        <w:ind w:firstLine="470" w:firstLineChars="147"/>
        <w:rPr>
          <w:rFonts w:ascii="宋体" w:hAnsi="宋体"/>
          <w:color w:val="000000" w:themeColor="text1"/>
          <w:sz w:val="32"/>
          <w:szCs w:val="32"/>
        </w:rPr>
      </w:pPr>
      <w:r>
        <w:rPr>
          <w:rFonts w:hint="eastAsia" w:ascii="仿宋" w:hAnsi="仿宋" w:eastAsia="仿宋"/>
          <w:color w:val="000000" w:themeColor="text1"/>
          <w:sz w:val="32"/>
          <w:szCs w:val="32"/>
        </w:rPr>
        <w:t>（主要对收入项目、支出项目、支出科目、预算绩效管理和绩效目标进行解释说明）</w:t>
      </w:r>
    </w:p>
    <w:p>
      <w:pPr>
        <w:rPr>
          <w:rFonts w:ascii="仿宋" w:hAnsi="仿宋" w:eastAsia="仿宋"/>
          <w:color w:val="000000" w:themeColor="text1"/>
          <w:sz w:val="32"/>
          <w:szCs w:val="32"/>
        </w:rPr>
      </w:pP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一、一般公共预算拨款收入：反映财政部门用公共财政预算收入安排的预算单位资金。</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二、财政专户资金：指事业单位按照物价部门和财政部门批准的收费许可证收取的缴入财政专户的行政事业性收费。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三、事业收入：指事业单位开展专业业务活动及辅助活动所取得的收入，不含事业单位获得的由财政专户资金核拨的资金。</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四、事业单位经营收入：指事业单位在专业业务活动及其辅助活动之外开展非独立核算经营活动取得的收入。 </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五、其他收入：指除 “财政拨款收入”、“财政专户资金”、 “事业收入”、“事业单位经营收入”、“上级补助收入”、“附属单 位上缴收入”、“用事业基金弥补收支差额”等以外的各项收入。</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六、支出功能分类：按照政府的各项职能活动将支出进行分类；支出经济分类：按照政府各项支出的具体用途将支出进行分类。</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七、行政运行：反映行政单位（包括实行公务员管理的事业单位）的基本支出。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八、一般行政管理事务：反映行政单位（包括实行公务员管理的事业单位）未单独设置项级科目的其他项目支出。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九、事业运行：反映事业单位的基本支出，不包括行政单位（包括实行公务员管理的事业单位）后勤服务中心、医务室等附属事业单位。</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十、行政事业单位养老支出：反映用于行政事业单位养老方面的支出。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（一）行政单位离退休（项）：反映行政单位（包括实行公务员管理的事业单位）开支的离退休支出。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（二）事业单位离退休（项）：反映事业单位开支的离退休费。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（三）机关事业单位养老保险缴费支出（项）：反映机关事业单位实施养老保险制度由单位缴纳的基本养老保险费支出。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（四）机关事业单位职业年金缴费支出（项）：反映机关事业单位实施养老保险制度由单位缴纳的职业年金支出。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十一、医疗卫生（类）医疗保障（款）：指用于行政事业单位医疗保障方面的支出。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（一）行政单位医疗（项）：反映财政部门安排的行政单位基本医疗保险缴费经费，未参加医疗保险的行政单位的公费医疗经费，按国家规定享受离休人员、红军老战士待遇人员的医疗经费。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（二）事业单位医疗（项）：反映财政部门安排的事业单位基本医疗保险缴费经费，未参加医疗保险的事业单位的公费医疗经费，按国家规定享受离休人员待遇人员的医疗经费。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（三）公务员医疗补助（项）：反映财政部门安排的公务员医疗补助经费。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十二、住房保障支出（类）住房改革支出（款）：反映行政事业单位用财政拨款资金和其他资金等安排的住房改革支出。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（一）住房公积金（项）：反映行政事业单位按人力资源和社会保障部、财政部规定的基本工资和津贴补贴以及规定比例为职工缴纳的住房公积金。</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（二）提租补贴（项）：反映按房改政策规定的标准，行政事业单位向职工（含离退休人员）发放的租金补贴。</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（三）购房补贴（项）：反映按房改政策规定，行政事业单 位向符合条件职工（含离退休人员）、军队(含武警)向转役复员离退休人员发放的用于购买住房的补贴。</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十三、工资福利支出（类）：反映单位开支的在职职工和编制外长期聘用人员的各类劳动报酬，以及为上述人员缴纳的各项社会保险费等。</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十四、按定额管理的商品服务支出（类）：反映单位购买商品和服务的支出（不包括用于购置固定资产的支出）。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十五、离退休公用支出（类）：按照政策规定标准发给离退休人员的特别补助费和活动费。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十六、职工体检费支出（类）：反映单位支付的职工体检费。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十七、对个人和家庭补助支出（类）：反映政府用于对个人和家庭的补助支出。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十八、基本支出：反映为保障机构正常运转、完成日常工作任务而发生的人员支出和公用支出。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十九、项目支出：反映行政单位为完成特定的工作任务或事业发展目标，在基本的预算支出以外，财政预算专款安排的支出。 </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二十、一般公共预算“三公”经费：是指用一般公共预算安排的因公出国（境）费、公务用车购置及运行费和公务接待费。</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（一）因公出国（境）费：反映公务出国（境）的住宿费、旅费、伙食补助费、杂费、培训费等支出。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（二）公务接待费：反映按规定开支的各类公务接待（含外宾接待）支出。</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（三）公务用车购置及运行费：反映公务用车购置费及租用费、燃料费、维修费、过路过桥费、保险费等支出。</w:t>
      </w:r>
    </w:p>
    <w:p>
      <w:pPr>
        <w:ind w:firstLine="627" w:firstLineChars="196"/>
        <w:rPr>
          <w:rFonts w:ascii="仿宋" w:hAnsi="仿宋" w:eastAsia="仿宋"/>
          <w:color w:val="000000" w:themeColor="text1"/>
          <w:sz w:val="32"/>
          <w:szCs w:val="32"/>
        </w:rPr>
      </w:pPr>
      <w:r>
        <w:rPr>
          <w:rFonts w:hint="eastAsia" w:ascii="仿宋" w:hAnsi="仿宋" w:eastAsia="仿宋"/>
          <w:color w:val="000000" w:themeColor="text1"/>
          <w:sz w:val="32"/>
          <w:szCs w:val="32"/>
        </w:rPr>
        <w:t>二十一、机关运行经费：为保障单位运行，用于购买货物和服务的各项资金，包括办公费、印刷费、邮电费、差旅费、会议费、福利费、日常维修费、专用材料及一般设备购置费、办公用房水电费、办公用房取暖费、办公用房物业管理费、公务用车运行维护费及其他费用。</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十二、预算绩效管理：是以财政支出结果为导向，将绩效管理理念和方法贯穿于预算编制、执行、监督和信息公开全过程，并实现“预算编制有目标、预算执行有监控、预算完成有评价、评价结果有反馈、反馈结果有应用”的预算管理模式，是政府绩效管理的重要组成部分。</w:t>
      </w:r>
    </w:p>
    <w:p>
      <w:pPr>
        <w:ind w:firstLine="790" w:firstLineChars="247"/>
        <w:rPr>
          <w:rFonts w:ascii="仿宋" w:hAnsi="仿宋" w:eastAsia="仿宋"/>
          <w:color w:val="000000" w:themeColor="text1"/>
          <w:sz w:val="32"/>
          <w:szCs w:val="32"/>
        </w:rPr>
      </w:pPr>
      <w:r>
        <w:rPr>
          <w:rFonts w:hint="eastAsia" w:ascii="仿宋" w:hAnsi="仿宋" w:eastAsia="仿宋"/>
          <w:color w:val="000000" w:themeColor="text1"/>
          <w:sz w:val="32"/>
          <w:szCs w:val="32"/>
        </w:rPr>
        <w:t>二十三、绩效目标：是预算绩效管理对象计划在一定期限内达到的产出和效果，包括产出指标、效益指标和服务对象满意度指标，是绩效执行监控、绩效自评价和再评价等预算绩效管理工作的前提和基础。</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13</w:t>
    </w:r>
    <w:r>
      <w:rPr>
        <w:lang w:val="zh-CN"/>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497E"/>
    <w:rsid w:val="00000DF1"/>
    <w:rsid w:val="00002A23"/>
    <w:rsid w:val="00013912"/>
    <w:rsid w:val="000213FF"/>
    <w:rsid w:val="00034846"/>
    <w:rsid w:val="00043BD2"/>
    <w:rsid w:val="000455E4"/>
    <w:rsid w:val="00046535"/>
    <w:rsid w:val="00051DD8"/>
    <w:rsid w:val="00054CB5"/>
    <w:rsid w:val="00056231"/>
    <w:rsid w:val="00056F30"/>
    <w:rsid w:val="000644D7"/>
    <w:rsid w:val="000656F5"/>
    <w:rsid w:val="00070225"/>
    <w:rsid w:val="00094691"/>
    <w:rsid w:val="000A2A41"/>
    <w:rsid w:val="000A6DA4"/>
    <w:rsid w:val="000C231F"/>
    <w:rsid w:val="000D567A"/>
    <w:rsid w:val="000E150D"/>
    <w:rsid w:val="000E18BE"/>
    <w:rsid w:val="000F2F62"/>
    <w:rsid w:val="0010210C"/>
    <w:rsid w:val="00102FA6"/>
    <w:rsid w:val="0011435F"/>
    <w:rsid w:val="00115336"/>
    <w:rsid w:val="001157DA"/>
    <w:rsid w:val="00127E20"/>
    <w:rsid w:val="001354C2"/>
    <w:rsid w:val="00136BDD"/>
    <w:rsid w:val="00142D18"/>
    <w:rsid w:val="0014389B"/>
    <w:rsid w:val="0014784C"/>
    <w:rsid w:val="00147EA9"/>
    <w:rsid w:val="00152C37"/>
    <w:rsid w:val="00163935"/>
    <w:rsid w:val="00175998"/>
    <w:rsid w:val="001778B6"/>
    <w:rsid w:val="001801E9"/>
    <w:rsid w:val="00181B85"/>
    <w:rsid w:val="00193093"/>
    <w:rsid w:val="001A46F4"/>
    <w:rsid w:val="001B04F2"/>
    <w:rsid w:val="001C0060"/>
    <w:rsid w:val="001F19D6"/>
    <w:rsid w:val="001F3AAB"/>
    <w:rsid w:val="00204716"/>
    <w:rsid w:val="002121B6"/>
    <w:rsid w:val="00224B85"/>
    <w:rsid w:val="00231328"/>
    <w:rsid w:val="00234B6E"/>
    <w:rsid w:val="0024082D"/>
    <w:rsid w:val="0026721C"/>
    <w:rsid w:val="0027740A"/>
    <w:rsid w:val="002831A8"/>
    <w:rsid w:val="002A1BB7"/>
    <w:rsid w:val="002B2958"/>
    <w:rsid w:val="002C23AA"/>
    <w:rsid w:val="002D4EE4"/>
    <w:rsid w:val="002F0420"/>
    <w:rsid w:val="002F13C3"/>
    <w:rsid w:val="002F4F8D"/>
    <w:rsid w:val="00301043"/>
    <w:rsid w:val="00320947"/>
    <w:rsid w:val="003308F7"/>
    <w:rsid w:val="00352B64"/>
    <w:rsid w:val="00353C68"/>
    <w:rsid w:val="00381E81"/>
    <w:rsid w:val="00382B55"/>
    <w:rsid w:val="00385475"/>
    <w:rsid w:val="00390FB3"/>
    <w:rsid w:val="003935C6"/>
    <w:rsid w:val="0039641A"/>
    <w:rsid w:val="003A1E8B"/>
    <w:rsid w:val="003A483D"/>
    <w:rsid w:val="003A67DF"/>
    <w:rsid w:val="003B0223"/>
    <w:rsid w:val="003C7929"/>
    <w:rsid w:val="003D0E36"/>
    <w:rsid w:val="003D2138"/>
    <w:rsid w:val="003D6025"/>
    <w:rsid w:val="003D7408"/>
    <w:rsid w:val="003F7C9C"/>
    <w:rsid w:val="00404670"/>
    <w:rsid w:val="00405347"/>
    <w:rsid w:val="0041561D"/>
    <w:rsid w:val="00417268"/>
    <w:rsid w:val="004240EF"/>
    <w:rsid w:val="004314A2"/>
    <w:rsid w:val="00440B50"/>
    <w:rsid w:val="00476258"/>
    <w:rsid w:val="00480F36"/>
    <w:rsid w:val="004963AF"/>
    <w:rsid w:val="004A1E40"/>
    <w:rsid w:val="004A492B"/>
    <w:rsid w:val="004B18E2"/>
    <w:rsid w:val="004B601C"/>
    <w:rsid w:val="004C37C1"/>
    <w:rsid w:val="004C621F"/>
    <w:rsid w:val="004D79B6"/>
    <w:rsid w:val="004E172B"/>
    <w:rsid w:val="004E3286"/>
    <w:rsid w:val="004E785D"/>
    <w:rsid w:val="004F7104"/>
    <w:rsid w:val="00505B0B"/>
    <w:rsid w:val="00510C30"/>
    <w:rsid w:val="005111B5"/>
    <w:rsid w:val="005174E0"/>
    <w:rsid w:val="00540FDB"/>
    <w:rsid w:val="005573C9"/>
    <w:rsid w:val="00557FEF"/>
    <w:rsid w:val="00560BBB"/>
    <w:rsid w:val="00563D7E"/>
    <w:rsid w:val="005741A3"/>
    <w:rsid w:val="0058379F"/>
    <w:rsid w:val="00583DDD"/>
    <w:rsid w:val="00584978"/>
    <w:rsid w:val="00586BD6"/>
    <w:rsid w:val="005975B2"/>
    <w:rsid w:val="005A7B21"/>
    <w:rsid w:val="005B3A16"/>
    <w:rsid w:val="005B75F0"/>
    <w:rsid w:val="005C0A61"/>
    <w:rsid w:val="005C3486"/>
    <w:rsid w:val="005C4DF3"/>
    <w:rsid w:val="005C7BAA"/>
    <w:rsid w:val="005E432F"/>
    <w:rsid w:val="005E539A"/>
    <w:rsid w:val="0060162E"/>
    <w:rsid w:val="00601686"/>
    <w:rsid w:val="0060391B"/>
    <w:rsid w:val="00607063"/>
    <w:rsid w:val="006077DB"/>
    <w:rsid w:val="00617F25"/>
    <w:rsid w:val="0062397B"/>
    <w:rsid w:val="006343D3"/>
    <w:rsid w:val="00644A56"/>
    <w:rsid w:val="006475A0"/>
    <w:rsid w:val="0066446E"/>
    <w:rsid w:val="006751D6"/>
    <w:rsid w:val="006B3DD4"/>
    <w:rsid w:val="006C505B"/>
    <w:rsid w:val="006C6314"/>
    <w:rsid w:val="006F6475"/>
    <w:rsid w:val="00714F6D"/>
    <w:rsid w:val="007329D9"/>
    <w:rsid w:val="00735791"/>
    <w:rsid w:val="007427FA"/>
    <w:rsid w:val="00747EB2"/>
    <w:rsid w:val="007529D3"/>
    <w:rsid w:val="007608B6"/>
    <w:rsid w:val="00765A60"/>
    <w:rsid w:val="0078745D"/>
    <w:rsid w:val="00793949"/>
    <w:rsid w:val="007A0E26"/>
    <w:rsid w:val="007A1867"/>
    <w:rsid w:val="007B2D62"/>
    <w:rsid w:val="007C3D8A"/>
    <w:rsid w:val="007C5C2E"/>
    <w:rsid w:val="007D6840"/>
    <w:rsid w:val="007D7B20"/>
    <w:rsid w:val="007E31BA"/>
    <w:rsid w:val="007E5940"/>
    <w:rsid w:val="007F2748"/>
    <w:rsid w:val="007F2CBD"/>
    <w:rsid w:val="00802596"/>
    <w:rsid w:val="00830ABB"/>
    <w:rsid w:val="008319E4"/>
    <w:rsid w:val="00835F33"/>
    <w:rsid w:val="00845841"/>
    <w:rsid w:val="00845BF2"/>
    <w:rsid w:val="00850FC0"/>
    <w:rsid w:val="00862C47"/>
    <w:rsid w:val="00866670"/>
    <w:rsid w:val="00867FD6"/>
    <w:rsid w:val="00877BAF"/>
    <w:rsid w:val="008872F5"/>
    <w:rsid w:val="008B303B"/>
    <w:rsid w:val="008B57C5"/>
    <w:rsid w:val="008C539E"/>
    <w:rsid w:val="008D4AE8"/>
    <w:rsid w:val="008D651D"/>
    <w:rsid w:val="008E62E3"/>
    <w:rsid w:val="008F5D04"/>
    <w:rsid w:val="008F76A9"/>
    <w:rsid w:val="0090541C"/>
    <w:rsid w:val="009071C5"/>
    <w:rsid w:val="00915344"/>
    <w:rsid w:val="00926438"/>
    <w:rsid w:val="00926F07"/>
    <w:rsid w:val="00930BF5"/>
    <w:rsid w:val="00930E1E"/>
    <w:rsid w:val="009325E7"/>
    <w:rsid w:val="0093437E"/>
    <w:rsid w:val="00950DE5"/>
    <w:rsid w:val="0095262A"/>
    <w:rsid w:val="00953CB4"/>
    <w:rsid w:val="00974E1F"/>
    <w:rsid w:val="00987FF0"/>
    <w:rsid w:val="009A0E3A"/>
    <w:rsid w:val="009A17CE"/>
    <w:rsid w:val="009B60B1"/>
    <w:rsid w:val="009B7D68"/>
    <w:rsid w:val="009C0C74"/>
    <w:rsid w:val="009C412E"/>
    <w:rsid w:val="009C53D8"/>
    <w:rsid w:val="009C5BC7"/>
    <w:rsid w:val="009C78E7"/>
    <w:rsid w:val="009D1775"/>
    <w:rsid w:val="009F0E0C"/>
    <w:rsid w:val="00A02B18"/>
    <w:rsid w:val="00A05C33"/>
    <w:rsid w:val="00A14B8A"/>
    <w:rsid w:val="00A14BA3"/>
    <w:rsid w:val="00A20782"/>
    <w:rsid w:val="00A22CA3"/>
    <w:rsid w:val="00A25680"/>
    <w:rsid w:val="00A34249"/>
    <w:rsid w:val="00A41D34"/>
    <w:rsid w:val="00A52585"/>
    <w:rsid w:val="00A54A62"/>
    <w:rsid w:val="00A70E43"/>
    <w:rsid w:val="00A752E1"/>
    <w:rsid w:val="00A77653"/>
    <w:rsid w:val="00A77B12"/>
    <w:rsid w:val="00A82EF0"/>
    <w:rsid w:val="00A83578"/>
    <w:rsid w:val="00A84CA4"/>
    <w:rsid w:val="00A90281"/>
    <w:rsid w:val="00A9746C"/>
    <w:rsid w:val="00AB0DE2"/>
    <w:rsid w:val="00AD2B0A"/>
    <w:rsid w:val="00AE0827"/>
    <w:rsid w:val="00AE147F"/>
    <w:rsid w:val="00AE2D0B"/>
    <w:rsid w:val="00B04A04"/>
    <w:rsid w:val="00B12018"/>
    <w:rsid w:val="00B1333A"/>
    <w:rsid w:val="00B1557C"/>
    <w:rsid w:val="00B227AD"/>
    <w:rsid w:val="00B25B58"/>
    <w:rsid w:val="00B2694E"/>
    <w:rsid w:val="00B325AB"/>
    <w:rsid w:val="00B33959"/>
    <w:rsid w:val="00B37BC5"/>
    <w:rsid w:val="00B53264"/>
    <w:rsid w:val="00B53DE3"/>
    <w:rsid w:val="00B65E62"/>
    <w:rsid w:val="00B751DC"/>
    <w:rsid w:val="00B82E07"/>
    <w:rsid w:val="00B84267"/>
    <w:rsid w:val="00BA1C74"/>
    <w:rsid w:val="00BC6990"/>
    <w:rsid w:val="00BD6AC5"/>
    <w:rsid w:val="00BE0E34"/>
    <w:rsid w:val="00BE35DE"/>
    <w:rsid w:val="00BF4E16"/>
    <w:rsid w:val="00C17E04"/>
    <w:rsid w:val="00C24FFF"/>
    <w:rsid w:val="00C32DAD"/>
    <w:rsid w:val="00C54727"/>
    <w:rsid w:val="00C55B6D"/>
    <w:rsid w:val="00C576A6"/>
    <w:rsid w:val="00C65D09"/>
    <w:rsid w:val="00C66F32"/>
    <w:rsid w:val="00C73C53"/>
    <w:rsid w:val="00C751E1"/>
    <w:rsid w:val="00CD15CA"/>
    <w:rsid w:val="00CD6EE8"/>
    <w:rsid w:val="00CE363F"/>
    <w:rsid w:val="00CF1D9A"/>
    <w:rsid w:val="00CF621A"/>
    <w:rsid w:val="00CF73B5"/>
    <w:rsid w:val="00D049CB"/>
    <w:rsid w:val="00D07867"/>
    <w:rsid w:val="00D11F2E"/>
    <w:rsid w:val="00D12727"/>
    <w:rsid w:val="00D203FC"/>
    <w:rsid w:val="00D20DE5"/>
    <w:rsid w:val="00D306EE"/>
    <w:rsid w:val="00D33F86"/>
    <w:rsid w:val="00D45E52"/>
    <w:rsid w:val="00D52F8F"/>
    <w:rsid w:val="00D55987"/>
    <w:rsid w:val="00D62856"/>
    <w:rsid w:val="00D773AB"/>
    <w:rsid w:val="00D91021"/>
    <w:rsid w:val="00D9604D"/>
    <w:rsid w:val="00DA3BD5"/>
    <w:rsid w:val="00DA3BED"/>
    <w:rsid w:val="00DB2E49"/>
    <w:rsid w:val="00DB3D75"/>
    <w:rsid w:val="00DB437C"/>
    <w:rsid w:val="00DC0B57"/>
    <w:rsid w:val="00DC15D4"/>
    <w:rsid w:val="00DC28B0"/>
    <w:rsid w:val="00DC4E50"/>
    <w:rsid w:val="00DC6252"/>
    <w:rsid w:val="00DD31C9"/>
    <w:rsid w:val="00DD34D8"/>
    <w:rsid w:val="00DF544C"/>
    <w:rsid w:val="00E0454C"/>
    <w:rsid w:val="00E05327"/>
    <w:rsid w:val="00E07039"/>
    <w:rsid w:val="00E12762"/>
    <w:rsid w:val="00E1481E"/>
    <w:rsid w:val="00E2208F"/>
    <w:rsid w:val="00E32932"/>
    <w:rsid w:val="00E41365"/>
    <w:rsid w:val="00E42219"/>
    <w:rsid w:val="00E44ABA"/>
    <w:rsid w:val="00E45686"/>
    <w:rsid w:val="00E56AF8"/>
    <w:rsid w:val="00E60A5B"/>
    <w:rsid w:val="00E67781"/>
    <w:rsid w:val="00E7233F"/>
    <w:rsid w:val="00E7715F"/>
    <w:rsid w:val="00EA2B35"/>
    <w:rsid w:val="00EA3009"/>
    <w:rsid w:val="00EA5C21"/>
    <w:rsid w:val="00EB203A"/>
    <w:rsid w:val="00EB69F6"/>
    <w:rsid w:val="00EB758E"/>
    <w:rsid w:val="00ED3C22"/>
    <w:rsid w:val="00ED65D3"/>
    <w:rsid w:val="00EE2DAA"/>
    <w:rsid w:val="00EF4EDD"/>
    <w:rsid w:val="00F016B8"/>
    <w:rsid w:val="00F04FAD"/>
    <w:rsid w:val="00F261EF"/>
    <w:rsid w:val="00F4071D"/>
    <w:rsid w:val="00F41DCB"/>
    <w:rsid w:val="00F422EB"/>
    <w:rsid w:val="00F468A8"/>
    <w:rsid w:val="00F522D1"/>
    <w:rsid w:val="00F56104"/>
    <w:rsid w:val="00F64E96"/>
    <w:rsid w:val="00F67780"/>
    <w:rsid w:val="00F71ACB"/>
    <w:rsid w:val="00F741E2"/>
    <w:rsid w:val="00F74BC0"/>
    <w:rsid w:val="00F752C7"/>
    <w:rsid w:val="00F77F4C"/>
    <w:rsid w:val="00FA0580"/>
    <w:rsid w:val="00FA31DB"/>
    <w:rsid w:val="00FA6831"/>
    <w:rsid w:val="00FB1566"/>
    <w:rsid w:val="00FB3FCA"/>
    <w:rsid w:val="00FC70DA"/>
    <w:rsid w:val="00FD07C6"/>
    <w:rsid w:val="00FD3114"/>
    <w:rsid w:val="00FE3730"/>
    <w:rsid w:val="00FF18A2"/>
    <w:rsid w:val="00FF497E"/>
    <w:rsid w:val="32AD4E49"/>
    <w:rsid w:val="5D713A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
    <w:pPr>
      <w:keepNext/>
      <w:keepLines/>
      <w:spacing w:before="260" w:after="260" w:line="416" w:lineRule="auto"/>
      <w:outlineLvl w:val="1"/>
    </w:pPr>
    <w:rPr>
      <w:rFonts w:ascii="Cambria" w:hAnsi="Cambria"/>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link w:val="5"/>
    <w:uiPriority w:val="99"/>
    <w:rPr>
      <w:kern w:val="2"/>
      <w:sz w:val="18"/>
      <w:szCs w:val="18"/>
    </w:rPr>
  </w:style>
  <w:style w:type="character" w:customStyle="1" w:styleId="11">
    <w:name w:val="页脚 Char"/>
    <w:link w:val="4"/>
    <w:uiPriority w:val="99"/>
    <w:rPr>
      <w:kern w:val="2"/>
      <w:sz w:val="18"/>
      <w:szCs w:val="18"/>
    </w:rPr>
  </w:style>
  <w:style w:type="character" w:customStyle="1" w:styleId="12">
    <w:name w:val="标题 1 Char"/>
    <w:link w:val="2"/>
    <w:uiPriority w:val="9"/>
    <w:rPr>
      <w:b/>
      <w:bCs/>
      <w:kern w:val="44"/>
      <w:sz w:val="44"/>
      <w:szCs w:val="44"/>
    </w:rPr>
  </w:style>
  <w:style w:type="character" w:customStyle="1" w:styleId="13">
    <w:name w:val="标题 2 Char"/>
    <w:link w:val="3"/>
    <w:uiPriority w:val="9"/>
    <w:rPr>
      <w:rFonts w:ascii="Cambria" w:hAnsi="Cambria" w:eastAsia="宋体" w:cs="Times New Roman"/>
      <w:b/>
      <w:bCs/>
      <w:kern w:val="2"/>
      <w:sz w:val="32"/>
      <w:szCs w:val="32"/>
    </w:rPr>
  </w:style>
  <w:style w:type="paragraph" w:styleId="14">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B5EB6B-D860-4CBB-ACBC-810EA2C28740}">
  <ds:schemaRefs/>
</ds:datastoreItem>
</file>

<file path=docProps/app.xml><?xml version="1.0" encoding="utf-8"?>
<Properties xmlns="http://schemas.openxmlformats.org/officeDocument/2006/extended-properties" xmlns:vt="http://schemas.openxmlformats.org/officeDocument/2006/docPropsVTypes">
  <Template>Normal</Template>
  <Pages>20</Pages>
  <Words>1221</Words>
  <Characters>6964</Characters>
  <Lines>58</Lines>
  <Paragraphs>16</Paragraphs>
  <TotalTime>515</TotalTime>
  <ScaleCrop>false</ScaleCrop>
  <LinksUpToDate>false</LinksUpToDate>
  <CharactersWithSpaces>8169</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2020-06-13T01:37:00Z</dcterms:created>
  <dc:creator>lenovo</dc:creator>
  <cp:lastModifiedBy>Administrator</cp:lastModifiedBy>
  <cp:lastPrinted>2019-02-01T06:54:00Z</cp:lastPrinted>
  <dcterms:modified xsi:type="dcterms:W3CDTF">2020-01-31T08:07:51Z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