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i w:val="0"/>
          <w:caps w:val="0"/>
          <w:color w:val="auto"/>
          <w:spacing w:val="0"/>
          <w:sz w:val="44"/>
          <w:szCs w:val="44"/>
          <w:shd w:val="clear" w:fill="FFFFFF"/>
        </w:rPr>
      </w:pPr>
      <w:r>
        <w:rPr>
          <w:rFonts w:hint="eastAsia" w:ascii="宋体" w:hAnsi="宋体" w:eastAsia="宋体" w:cs="宋体"/>
          <w:i w:val="0"/>
          <w:caps w:val="0"/>
          <w:color w:val="auto"/>
          <w:spacing w:val="0"/>
          <w:sz w:val="44"/>
          <w:szCs w:val="44"/>
          <w:shd w:val="clear" w:fill="FFFFFF"/>
        </w:rPr>
        <w:t>前进区市场监督管理局</w:t>
      </w:r>
      <w:r>
        <w:rPr>
          <w:rFonts w:hint="eastAsia" w:ascii="宋体" w:hAnsi="宋体" w:eastAsia="宋体" w:cs="宋体"/>
          <w:i w:val="0"/>
          <w:caps w:val="0"/>
          <w:color w:val="auto"/>
          <w:spacing w:val="0"/>
          <w:sz w:val="44"/>
          <w:szCs w:val="44"/>
          <w:shd w:val="clear" w:fill="FFFFFF"/>
          <w:lang w:val="en-US" w:eastAsia="zh-CN"/>
        </w:rPr>
        <w:t>2020年</w:t>
      </w:r>
      <w:r>
        <w:rPr>
          <w:rFonts w:hint="eastAsia" w:ascii="宋体" w:hAnsi="宋体" w:eastAsia="宋体" w:cs="宋体"/>
          <w:i w:val="0"/>
          <w:caps w:val="0"/>
          <w:color w:val="auto"/>
          <w:spacing w:val="0"/>
          <w:sz w:val="44"/>
          <w:szCs w:val="44"/>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i w:val="0"/>
          <w:caps w:val="0"/>
          <w:color w:val="auto"/>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auto"/>
          <w:sz w:val="32"/>
          <w:szCs w:val="32"/>
        </w:rPr>
      </w:pP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根据《中华人民共和国政府信息公开条例》（以下简称《条例》）要求，特向社会公布</w:t>
      </w:r>
      <w:r>
        <w:rPr>
          <w:rFonts w:hint="eastAsia" w:ascii="仿宋" w:hAnsi="仿宋" w:eastAsia="仿宋" w:cs="仿宋"/>
          <w:i w:val="0"/>
          <w:caps w:val="0"/>
          <w:color w:val="auto"/>
          <w:spacing w:val="0"/>
          <w:sz w:val="32"/>
          <w:szCs w:val="32"/>
          <w:shd w:val="clear" w:fill="FFFFFF"/>
          <w:lang w:val="en-US"/>
        </w:rPr>
        <w:t>2020</w:t>
      </w:r>
      <w:r>
        <w:rPr>
          <w:rFonts w:hint="eastAsia" w:ascii="仿宋" w:hAnsi="仿宋" w:eastAsia="仿宋" w:cs="仿宋"/>
          <w:i w:val="0"/>
          <w:caps w:val="0"/>
          <w:color w:val="auto"/>
          <w:spacing w:val="0"/>
          <w:sz w:val="32"/>
          <w:szCs w:val="32"/>
          <w:shd w:val="clear" w:fill="FFFFFF"/>
        </w:rPr>
        <w:t>年本机关信息公开年度报告。本报告中所列数据的统计期限自</w:t>
      </w:r>
      <w:r>
        <w:rPr>
          <w:rFonts w:hint="eastAsia" w:ascii="仿宋" w:hAnsi="仿宋" w:eastAsia="仿宋" w:cs="仿宋"/>
          <w:i w:val="0"/>
          <w:caps w:val="0"/>
          <w:color w:val="auto"/>
          <w:spacing w:val="0"/>
          <w:sz w:val="32"/>
          <w:szCs w:val="32"/>
          <w:shd w:val="clear" w:fill="FFFFFF"/>
          <w:lang w:val="en-US"/>
        </w:rPr>
        <w:t>2020</w:t>
      </w:r>
      <w:r>
        <w:rPr>
          <w:rFonts w:hint="eastAsia" w:ascii="仿宋" w:hAnsi="仿宋" w:eastAsia="仿宋" w:cs="仿宋"/>
          <w:i w:val="0"/>
          <w:caps w:val="0"/>
          <w:color w:val="auto"/>
          <w:spacing w:val="0"/>
          <w:sz w:val="32"/>
          <w:szCs w:val="32"/>
          <w:shd w:val="clear" w:fill="FFFFFF"/>
        </w:rPr>
        <w:t>年</w:t>
      </w:r>
      <w:r>
        <w:rPr>
          <w:rFonts w:hint="eastAsia" w:ascii="仿宋" w:hAnsi="仿宋" w:eastAsia="仿宋" w:cs="仿宋"/>
          <w:i w:val="0"/>
          <w:caps w:val="0"/>
          <w:color w:val="auto"/>
          <w:spacing w:val="0"/>
          <w:sz w:val="32"/>
          <w:szCs w:val="32"/>
          <w:shd w:val="clear" w:fill="FFFFFF"/>
          <w:lang w:val="en-US"/>
        </w:rPr>
        <w:t>1</w:t>
      </w:r>
      <w:r>
        <w:rPr>
          <w:rFonts w:hint="eastAsia" w:ascii="仿宋" w:hAnsi="仿宋" w:eastAsia="仿宋" w:cs="仿宋"/>
          <w:i w:val="0"/>
          <w:caps w:val="0"/>
          <w:color w:val="auto"/>
          <w:spacing w:val="0"/>
          <w:sz w:val="32"/>
          <w:szCs w:val="32"/>
          <w:shd w:val="clear" w:fill="FFFFFF"/>
        </w:rPr>
        <w:t>月</w:t>
      </w:r>
      <w:r>
        <w:rPr>
          <w:rFonts w:hint="eastAsia" w:ascii="仿宋" w:hAnsi="仿宋" w:eastAsia="仿宋" w:cs="仿宋"/>
          <w:i w:val="0"/>
          <w:caps w:val="0"/>
          <w:color w:val="auto"/>
          <w:spacing w:val="0"/>
          <w:sz w:val="32"/>
          <w:szCs w:val="32"/>
          <w:shd w:val="clear" w:fill="FFFFFF"/>
          <w:lang w:val="en-US"/>
        </w:rPr>
        <w:t>1</w:t>
      </w:r>
      <w:r>
        <w:rPr>
          <w:rFonts w:hint="eastAsia" w:ascii="仿宋" w:hAnsi="仿宋" w:eastAsia="仿宋" w:cs="仿宋"/>
          <w:i w:val="0"/>
          <w:caps w:val="0"/>
          <w:color w:val="auto"/>
          <w:spacing w:val="0"/>
          <w:sz w:val="32"/>
          <w:szCs w:val="32"/>
          <w:shd w:val="clear" w:fill="FFFFFF"/>
        </w:rPr>
        <w:t>日起至</w:t>
      </w:r>
      <w:r>
        <w:rPr>
          <w:rFonts w:hint="eastAsia" w:ascii="仿宋" w:hAnsi="仿宋" w:eastAsia="仿宋" w:cs="仿宋"/>
          <w:i w:val="0"/>
          <w:caps w:val="0"/>
          <w:color w:val="auto"/>
          <w:spacing w:val="0"/>
          <w:sz w:val="32"/>
          <w:szCs w:val="32"/>
          <w:shd w:val="clear" w:fill="FFFFFF"/>
          <w:lang w:val="en-US"/>
        </w:rPr>
        <w:t>2020</w:t>
      </w:r>
      <w:r>
        <w:rPr>
          <w:rFonts w:hint="eastAsia" w:ascii="仿宋" w:hAnsi="仿宋" w:eastAsia="仿宋" w:cs="仿宋"/>
          <w:i w:val="0"/>
          <w:caps w:val="0"/>
          <w:color w:val="auto"/>
          <w:spacing w:val="0"/>
          <w:sz w:val="32"/>
          <w:szCs w:val="32"/>
          <w:shd w:val="clear" w:fill="FFFFFF"/>
        </w:rPr>
        <w:t>年</w:t>
      </w:r>
      <w:r>
        <w:rPr>
          <w:rFonts w:hint="eastAsia" w:ascii="仿宋" w:hAnsi="仿宋" w:eastAsia="仿宋" w:cs="仿宋"/>
          <w:i w:val="0"/>
          <w:caps w:val="0"/>
          <w:color w:val="auto"/>
          <w:spacing w:val="0"/>
          <w:sz w:val="32"/>
          <w:szCs w:val="32"/>
          <w:shd w:val="clear" w:fill="FFFFFF"/>
          <w:lang w:val="en-US"/>
        </w:rPr>
        <w:t>12</w:t>
      </w:r>
      <w:r>
        <w:rPr>
          <w:rFonts w:hint="eastAsia" w:ascii="仿宋" w:hAnsi="仿宋" w:eastAsia="仿宋" w:cs="仿宋"/>
          <w:i w:val="0"/>
          <w:caps w:val="0"/>
          <w:color w:val="auto"/>
          <w:spacing w:val="0"/>
          <w:sz w:val="32"/>
          <w:szCs w:val="32"/>
          <w:shd w:val="clear" w:fill="FFFFFF"/>
        </w:rPr>
        <w:t>月</w:t>
      </w:r>
      <w:r>
        <w:rPr>
          <w:rFonts w:hint="eastAsia" w:ascii="仿宋" w:hAnsi="仿宋" w:eastAsia="仿宋" w:cs="仿宋"/>
          <w:i w:val="0"/>
          <w:caps w:val="0"/>
          <w:color w:val="auto"/>
          <w:spacing w:val="0"/>
          <w:sz w:val="32"/>
          <w:szCs w:val="32"/>
          <w:shd w:val="clear" w:fill="FFFFFF"/>
          <w:lang w:val="en-US"/>
        </w:rPr>
        <w:t>31</w:t>
      </w:r>
      <w:r>
        <w:rPr>
          <w:rFonts w:hint="eastAsia" w:ascii="仿宋" w:hAnsi="仿宋" w:eastAsia="仿宋" w:cs="仿宋"/>
          <w:i w:val="0"/>
          <w:caps w:val="0"/>
          <w:color w:val="auto"/>
          <w:spacing w:val="0"/>
          <w:sz w:val="32"/>
          <w:szCs w:val="32"/>
          <w:shd w:val="clear" w:fill="FFFFFF"/>
        </w:rPr>
        <w:t>日止。如对本报告有任何疑问，请与前进区</w:t>
      </w:r>
      <w:r>
        <w:rPr>
          <w:rFonts w:hint="eastAsia" w:ascii="仿宋" w:hAnsi="仿宋" w:eastAsia="仿宋" w:cs="仿宋"/>
          <w:i w:val="0"/>
          <w:caps w:val="0"/>
          <w:color w:val="auto"/>
          <w:spacing w:val="0"/>
          <w:sz w:val="32"/>
          <w:szCs w:val="32"/>
          <w:shd w:val="clear" w:fill="FFFFFF"/>
          <w:lang w:eastAsia="zh-CN"/>
        </w:rPr>
        <w:t>市场局</w:t>
      </w:r>
      <w:r>
        <w:rPr>
          <w:rFonts w:hint="eastAsia" w:ascii="仿宋" w:hAnsi="仿宋" w:eastAsia="仿宋" w:cs="仿宋"/>
          <w:i w:val="0"/>
          <w:caps w:val="0"/>
          <w:color w:val="auto"/>
          <w:spacing w:val="0"/>
          <w:sz w:val="32"/>
          <w:szCs w:val="32"/>
          <w:shd w:val="clear" w:fill="FFFFFF"/>
        </w:rPr>
        <w:t>办公室联系（联系电话：</w:t>
      </w:r>
      <w:r>
        <w:rPr>
          <w:rFonts w:hint="eastAsia" w:ascii="仿宋" w:hAnsi="仿宋" w:eastAsia="仿宋" w:cs="仿宋"/>
          <w:i w:val="0"/>
          <w:caps w:val="0"/>
          <w:color w:val="auto"/>
          <w:spacing w:val="0"/>
          <w:sz w:val="32"/>
          <w:szCs w:val="32"/>
          <w:shd w:val="clear" w:fill="FFFFFF"/>
          <w:lang w:val="en-US"/>
        </w:rPr>
        <w:t>0454-</w:t>
      </w:r>
      <w:r>
        <w:rPr>
          <w:rFonts w:hint="eastAsia" w:ascii="仿宋" w:hAnsi="仿宋" w:eastAsia="仿宋" w:cs="仿宋"/>
          <w:i w:val="0"/>
          <w:caps w:val="0"/>
          <w:color w:val="auto"/>
          <w:spacing w:val="0"/>
          <w:sz w:val="32"/>
          <w:szCs w:val="32"/>
          <w:shd w:val="clear" w:fill="FFFFFF"/>
          <w:lang w:val="en-US" w:eastAsia="zh-CN"/>
        </w:rPr>
        <w:t>8605279</w:t>
      </w:r>
      <w:r>
        <w:rPr>
          <w:rFonts w:hint="eastAsia" w:ascii="仿宋" w:hAnsi="仿宋" w:eastAsia="仿宋" w:cs="仿宋"/>
          <w:i w:val="0"/>
          <w:caps w:val="0"/>
          <w:color w:val="auto"/>
          <w:spacing w:val="0"/>
          <w:sz w:val="32"/>
          <w:szCs w:val="32"/>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72"/>
        <w:jc w:val="left"/>
        <w:rPr>
          <w:rFonts w:hint="eastAsia" w:ascii="黑体" w:hAnsi="黑体" w:eastAsia="黑体" w:cs="黑体"/>
          <w:color w:val="auto"/>
          <w:sz w:val="32"/>
          <w:szCs w:val="32"/>
        </w:rPr>
      </w:pPr>
      <w:r>
        <w:rPr>
          <w:rFonts w:hint="eastAsia" w:ascii="黑体" w:hAnsi="黑体" w:eastAsia="黑体" w:cs="黑体"/>
          <w:i w:val="0"/>
          <w:caps w:val="0"/>
          <w:color w:val="auto"/>
          <w:spacing w:val="8"/>
          <w:kern w:val="0"/>
          <w:sz w:val="32"/>
          <w:szCs w:val="32"/>
          <w:shd w:val="clear" w:fill="FFFFFF"/>
          <w:lang w:val="en-US" w:eastAsia="zh-CN" w:bidi="ar"/>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90" w:lineRule="atLeast"/>
        <w:ind w:left="0" w:right="0" w:firstLine="600"/>
        <w:jc w:val="left"/>
        <w:rPr>
          <w:rFonts w:hint="eastAsia" w:ascii="仿宋" w:hAnsi="仿宋" w:eastAsia="仿宋" w:cs="仿宋"/>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2020年我局在区委、区政府的正确领导下，紧密结合市场监管工作，不断规范政府信息公开内容，突出政府信息公开重点，提高政府信息公开水平，立足做好商事制度改革、品牌发展、食品药品监管和消费维权等工作实际，把推进政府信息公开与转变政府职能、规范权力运行、促进依法行政紧密结合起来，不断完善政府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90" w:lineRule="atLeast"/>
        <w:ind w:left="0" w:right="0" w:firstLine="0"/>
        <w:jc w:val="left"/>
        <w:rPr>
          <w:rFonts w:hint="eastAsia" w:ascii="仿宋" w:hAnsi="仿宋" w:eastAsia="仿宋" w:cs="仿宋"/>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    （一）政府信息公开工作基本情况、工作成效。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90"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1、基本情况。我局认真抓好《中华人民共和国政府信息公开条例》的贯彻落实，进一步强化责任落实，完善工作机制，提高工作能力，切实做到以公开促进市场监管工作。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90" w:lineRule="atLeast"/>
        <w:ind w:right="0" w:firstLine="640" w:firstLineChars="200"/>
        <w:jc w:val="left"/>
        <w:rPr>
          <w:rFonts w:hint="eastAsia" w:ascii="仿宋" w:hAnsi="仿宋" w:eastAsia="仿宋" w:cs="仿宋"/>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2、工作成效。加强信息公开平台和渠道建设。发挥局门户网站作为政府信息公开平台的重要渠道作用，进一步拓展信息公开的渠道和便利性，提高了栏目信息的更新频率和数量，使信息分类更加合理，内容更加丰富，重点更加凸显，可读性进一步增强，使政府信息公开及宣传工作更加及时、方便、高效、便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90" w:lineRule="atLeast"/>
        <w:ind w:left="0" w:right="0" w:firstLine="426"/>
        <w:jc w:val="left"/>
        <w:rPr>
          <w:rFonts w:hint="eastAsia" w:ascii="仿宋" w:hAnsi="仿宋" w:eastAsia="仿宋" w:cs="仿宋"/>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 （二）政务公开工作要点部署、落实和完成情况。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90" w:lineRule="atLeast"/>
        <w:ind w:left="0" w:right="0" w:firstLine="640"/>
        <w:jc w:val="left"/>
        <w:rPr>
          <w:rFonts w:hint="eastAsia" w:ascii="仿宋" w:hAnsi="仿宋" w:eastAsia="仿宋" w:cs="仿宋"/>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一是严格按计划安排政务公开工作；二是全面贯彻落实《条例》，并根据区委区政府的部署要求，结合我局的监管职能，及时修订更新行政权力清单，及时发布取消有关行政审批事项的信息；三是对涉及人民群众切身利益的重大监管政策、监督执法、典型案件和消费警示等信息予以及时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90" w:lineRule="atLeast"/>
        <w:ind w:left="0" w:right="0" w:firstLine="320" w:firstLineChars="100"/>
        <w:jc w:val="left"/>
        <w:rPr>
          <w:rFonts w:hint="eastAsia" w:ascii="仿宋" w:hAnsi="仿宋" w:eastAsia="仿宋" w:cs="仿宋"/>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  （三）健全规章制度,认真抓好落实。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90" w:lineRule="atLeast"/>
        <w:ind w:left="0" w:right="0" w:firstLine="640"/>
        <w:jc w:val="left"/>
        <w:rPr>
          <w:rFonts w:hint="eastAsia" w:ascii="仿宋" w:hAnsi="仿宋" w:eastAsia="仿宋" w:cs="仿宋"/>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在局领导的重视下，不断健全完善政府信息公开制度，认真抓好落实，促进政府信息公开工作有序开展。对全年政府信息公开工作有部署、有检查，并按照规定将政府信息和工作信息经领导审核后在门户网站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90" w:lineRule="atLeast"/>
        <w:ind w:left="0" w:right="0" w:firstLine="0"/>
        <w:jc w:val="left"/>
        <w:rPr>
          <w:rFonts w:hint="eastAsia" w:ascii="仿宋" w:hAnsi="仿宋" w:eastAsia="仿宋" w:cs="仿宋"/>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   （四）明确职责要求，加强组织领导。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both"/>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我局成立了政府信息公开工作小组，由局长任组长，全面负责政府信息公开的组织协调工作，并明确分管领导负责具体信息公开的审核、监督工作。局办公室负责本局政府信息公开的日常工作。主要为食品安全、工商监管、质量安全监管、价格监管等民生方面。目前我局主动公开政府信息主要在前进区人民政府网站下设的政府信息公开栏目、前进区微信公众号、前进区市场监督管理局微信号。我局机关及行政审批窗口也设立资料索取点等便民服务设施，为办事群众提供信息查询服务。在微信公众号上注重采集权威媒体发布的与公众相关的民生消息，并及时发布权威信息，积极回应社会关切，正面引导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72"/>
        <w:jc w:val="left"/>
      </w:pPr>
      <w:r>
        <w:rPr>
          <w:rFonts w:hint="eastAsia" w:ascii="黑体" w:hAnsi="宋体" w:eastAsia="黑体" w:cs="黑体"/>
          <w:i w:val="0"/>
          <w:caps w:val="0"/>
          <w:color w:val="333333"/>
          <w:spacing w:val="8"/>
          <w:kern w:val="0"/>
          <w:sz w:val="32"/>
          <w:szCs w:val="32"/>
          <w:shd w:val="clear" w:fill="FFFFFF"/>
          <w:lang w:val="en-US" w:eastAsia="zh-CN" w:bidi="ar"/>
        </w:rPr>
        <w:t>二、主动公开政府信息情况</w:t>
      </w:r>
    </w:p>
    <w:tbl>
      <w:tblPr>
        <w:tblStyle w:val="3"/>
        <w:tblW w:w="9071" w:type="dxa"/>
        <w:jc w:val="center"/>
        <w:shd w:val="clear" w:color="auto" w:fill="auto"/>
        <w:tblLayout w:type="autofit"/>
        <w:tblCellMar>
          <w:top w:w="0" w:type="dxa"/>
          <w:left w:w="0" w:type="dxa"/>
          <w:bottom w:w="0" w:type="dxa"/>
          <w:right w:w="0" w:type="dxa"/>
        </w:tblCellMar>
      </w:tblPr>
      <w:tblGrid>
        <w:gridCol w:w="2270"/>
        <w:gridCol w:w="2270"/>
        <w:gridCol w:w="2270"/>
        <w:gridCol w:w="2270"/>
      </w:tblGrid>
      <w:tr>
        <w:tblPrEx>
          <w:shd w:val="clear" w:color="auto" w:fill="auto"/>
          <w:tblCellMar>
            <w:top w:w="0" w:type="dxa"/>
            <w:left w:w="0" w:type="dxa"/>
            <w:bottom w:w="0" w:type="dxa"/>
            <w:right w:w="0" w:type="dxa"/>
          </w:tblCellMar>
        </w:tblPrEx>
        <w:trPr>
          <w:trHeight w:val="567" w:hRule="atLeast"/>
          <w:jc w:val="center"/>
        </w:trPr>
        <w:tc>
          <w:tcPr>
            <w:tcW w:w="9078" w:type="dxa"/>
            <w:gridSpan w:val="4"/>
            <w:tcBorders>
              <w:top w:val="single" w:color="000000" w:sz="8" w:space="0"/>
              <w:left w:val="single" w:color="000000" w:sz="8" w:space="0"/>
              <w:bottom w:val="single" w:color="000000" w:sz="8" w:space="0"/>
              <w:right w:val="single" w:color="000000" w:sz="8" w:space="0"/>
            </w:tcBorders>
            <w:shd w:val="clear" w:color="auto" w:fill="C5D9F1"/>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第二十条第（一）项</w:t>
            </w:r>
          </w:p>
        </w:tc>
      </w:tr>
      <w:tr>
        <w:tblPrEx>
          <w:tblCellMar>
            <w:top w:w="0" w:type="dxa"/>
            <w:left w:w="0" w:type="dxa"/>
            <w:bottom w:w="0" w:type="dxa"/>
            <w:right w:w="0" w:type="dxa"/>
          </w:tblCellMar>
        </w:tblPrEx>
        <w:trPr>
          <w:trHeight w:val="567" w:hRule="atLeast"/>
          <w:jc w:val="center"/>
        </w:trPr>
        <w:tc>
          <w:tcPr>
            <w:tcW w:w="2270"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信息内容</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本年新制作数量</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本年新公开数量</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对外公开总数量</w:t>
            </w:r>
          </w:p>
        </w:tc>
      </w:tr>
      <w:tr>
        <w:tblPrEx>
          <w:tblCellMar>
            <w:top w:w="0" w:type="dxa"/>
            <w:left w:w="0" w:type="dxa"/>
            <w:bottom w:w="0" w:type="dxa"/>
            <w:right w:w="0" w:type="dxa"/>
          </w:tblCellMar>
        </w:tblPrEx>
        <w:trPr>
          <w:trHeight w:val="567" w:hRule="atLeast"/>
          <w:jc w:val="center"/>
        </w:trPr>
        <w:tc>
          <w:tcPr>
            <w:tcW w:w="2270"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规章</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567" w:hRule="atLeast"/>
          <w:jc w:val="center"/>
        </w:trPr>
        <w:tc>
          <w:tcPr>
            <w:tcW w:w="2270"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规范性文件</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567" w:hRule="atLeast"/>
          <w:jc w:val="center"/>
        </w:trPr>
        <w:tc>
          <w:tcPr>
            <w:tcW w:w="9078" w:type="dxa"/>
            <w:gridSpan w:val="4"/>
            <w:tcBorders>
              <w:top w:val="nil"/>
              <w:left w:val="single" w:color="auto" w:sz="8" w:space="0"/>
              <w:bottom w:val="single" w:color="auto" w:sz="8" w:space="0"/>
              <w:right w:val="single" w:color="auto" w:sz="8" w:space="0"/>
            </w:tcBorders>
            <w:shd w:val="clear" w:color="auto" w:fill="C5D9F1"/>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第二十条第（五）项</w:t>
            </w:r>
          </w:p>
        </w:tc>
      </w:tr>
      <w:tr>
        <w:tblPrEx>
          <w:tblCellMar>
            <w:top w:w="0" w:type="dxa"/>
            <w:left w:w="0" w:type="dxa"/>
            <w:bottom w:w="0" w:type="dxa"/>
            <w:right w:w="0" w:type="dxa"/>
          </w:tblCellMar>
        </w:tblPrEx>
        <w:trPr>
          <w:trHeight w:val="567" w:hRule="atLeast"/>
          <w:jc w:val="center"/>
        </w:trPr>
        <w:tc>
          <w:tcPr>
            <w:tcW w:w="2270"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信息内容</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上一年项目数量</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本年增/减</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处理决定数量</w:t>
            </w:r>
          </w:p>
        </w:tc>
      </w:tr>
      <w:tr>
        <w:tblPrEx>
          <w:tblCellMar>
            <w:top w:w="0" w:type="dxa"/>
            <w:left w:w="0" w:type="dxa"/>
            <w:bottom w:w="0" w:type="dxa"/>
            <w:right w:w="0" w:type="dxa"/>
          </w:tblCellMar>
        </w:tblPrEx>
        <w:trPr>
          <w:trHeight w:val="567" w:hRule="atLeast"/>
          <w:jc w:val="center"/>
        </w:trPr>
        <w:tc>
          <w:tcPr>
            <w:tcW w:w="2270"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行政许可</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333333"/>
                <w:kern w:val="0"/>
                <w:sz w:val="22"/>
                <w:szCs w:val="22"/>
                <w:lang w:val="en-US" w:eastAsia="zh-CN" w:bidi="ar"/>
              </w:rPr>
              <w:t>60</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333333"/>
                <w:kern w:val="0"/>
                <w:sz w:val="22"/>
                <w:szCs w:val="22"/>
                <w:lang w:val="en-US" w:eastAsia="zh-CN" w:bidi="ar"/>
              </w:rPr>
              <w:t>-12</w:t>
            </w:r>
            <w:bookmarkStart w:id="0" w:name="_GoBack"/>
            <w:bookmarkEnd w:id="0"/>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567" w:hRule="atLeast"/>
          <w:jc w:val="center"/>
        </w:trPr>
        <w:tc>
          <w:tcPr>
            <w:tcW w:w="2270"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其他对外管理服务事项</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567" w:hRule="atLeast"/>
          <w:jc w:val="center"/>
        </w:trPr>
        <w:tc>
          <w:tcPr>
            <w:tcW w:w="9078" w:type="dxa"/>
            <w:gridSpan w:val="4"/>
            <w:tcBorders>
              <w:top w:val="nil"/>
              <w:left w:val="single" w:color="auto" w:sz="8" w:space="0"/>
              <w:bottom w:val="single" w:color="auto" w:sz="8" w:space="0"/>
              <w:right w:val="single" w:color="auto" w:sz="8" w:space="0"/>
            </w:tcBorders>
            <w:shd w:val="clear" w:color="auto" w:fill="C5D9F1"/>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第二十条第（六）项</w:t>
            </w:r>
          </w:p>
        </w:tc>
      </w:tr>
      <w:tr>
        <w:tblPrEx>
          <w:tblCellMar>
            <w:top w:w="0" w:type="dxa"/>
            <w:left w:w="0" w:type="dxa"/>
            <w:bottom w:w="0" w:type="dxa"/>
            <w:right w:w="0" w:type="dxa"/>
          </w:tblCellMar>
        </w:tblPrEx>
        <w:trPr>
          <w:trHeight w:val="567" w:hRule="atLeast"/>
          <w:jc w:val="center"/>
        </w:trPr>
        <w:tc>
          <w:tcPr>
            <w:tcW w:w="2270"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信息内容</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上一年项目数量</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本年增/减</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处理决定数量</w:t>
            </w:r>
          </w:p>
        </w:tc>
      </w:tr>
      <w:tr>
        <w:tblPrEx>
          <w:tblCellMar>
            <w:top w:w="0" w:type="dxa"/>
            <w:left w:w="0" w:type="dxa"/>
            <w:bottom w:w="0" w:type="dxa"/>
            <w:right w:w="0" w:type="dxa"/>
          </w:tblCellMar>
        </w:tblPrEx>
        <w:trPr>
          <w:trHeight w:val="567" w:hRule="atLeast"/>
          <w:jc w:val="center"/>
        </w:trPr>
        <w:tc>
          <w:tcPr>
            <w:tcW w:w="2270"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行政处罚</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333333"/>
                <w:kern w:val="0"/>
                <w:sz w:val="22"/>
                <w:szCs w:val="22"/>
                <w:lang w:val="en-US" w:eastAsia="zh-CN" w:bidi="ar"/>
              </w:rPr>
              <w:t>55</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333333"/>
                <w:kern w:val="0"/>
                <w:sz w:val="22"/>
                <w:szCs w:val="22"/>
                <w:lang w:val="en-US" w:eastAsia="zh-CN" w:bidi="ar"/>
              </w:rPr>
              <w:t>-22</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567" w:hRule="atLeast"/>
          <w:jc w:val="center"/>
        </w:trPr>
        <w:tc>
          <w:tcPr>
            <w:tcW w:w="2270"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行政强制</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4</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333333"/>
                <w:kern w:val="0"/>
                <w:sz w:val="22"/>
                <w:szCs w:val="22"/>
                <w:lang w:val="en-US" w:eastAsia="zh-CN" w:bidi="ar"/>
              </w:rPr>
              <w:t>-4</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567" w:hRule="atLeast"/>
          <w:jc w:val="center"/>
        </w:trPr>
        <w:tc>
          <w:tcPr>
            <w:tcW w:w="9078" w:type="dxa"/>
            <w:gridSpan w:val="4"/>
            <w:tcBorders>
              <w:top w:val="nil"/>
              <w:left w:val="single" w:color="auto" w:sz="8" w:space="0"/>
              <w:bottom w:val="single" w:color="auto" w:sz="8" w:space="0"/>
              <w:right w:val="single" w:color="auto" w:sz="8" w:space="0"/>
            </w:tcBorders>
            <w:shd w:val="clear" w:color="auto" w:fill="C5D9F1"/>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第二十条第（八）项</w:t>
            </w:r>
          </w:p>
        </w:tc>
      </w:tr>
      <w:tr>
        <w:tblPrEx>
          <w:tblCellMar>
            <w:top w:w="0" w:type="dxa"/>
            <w:left w:w="0" w:type="dxa"/>
            <w:bottom w:w="0" w:type="dxa"/>
            <w:right w:w="0" w:type="dxa"/>
          </w:tblCellMar>
        </w:tblPrEx>
        <w:trPr>
          <w:trHeight w:val="567" w:hRule="atLeast"/>
          <w:jc w:val="center"/>
        </w:trPr>
        <w:tc>
          <w:tcPr>
            <w:tcW w:w="2270"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信息内容</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上一年项目数量</w:t>
            </w:r>
          </w:p>
        </w:tc>
        <w:tc>
          <w:tcPr>
            <w:tcW w:w="4539" w:type="dxa"/>
            <w:gridSpan w:val="2"/>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本年增/减</w:t>
            </w:r>
          </w:p>
        </w:tc>
      </w:tr>
      <w:tr>
        <w:tblPrEx>
          <w:tblCellMar>
            <w:top w:w="0" w:type="dxa"/>
            <w:left w:w="0" w:type="dxa"/>
            <w:bottom w:w="0" w:type="dxa"/>
            <w:right w:w="0" w:type="dxa"/>
          </w:tblCellMar>
        </w:tblPrEx>
        <w:trPr>
          <w:trHeight w:val="567" w:hRule="atLeast"/>
          <w:jc w:val="center"/>
        </w:trPr>
        <w:tc>
          <w:tcPr>
            <w:tcW w:w="2270"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行政事业性收费</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4539" w:type="dxa"/>
            <w:gridSpan w:val="2"/>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567" w:hRule="atLeast"/>
          <w:jc w:val="center"/>
        </w:trPr>
        <w:tc>
          <w:tcPr>
            <w:tcW w:w="9078" w:type="dxa"/>
            <w:gridSpan w:val="4"/>
            <w:tcBorders>
              <w:top w:val="nil"/>
              <w:left w:val="single" w:color="auto" w:sz="8" w:space="0"/>
              <w:bottom w:val="single" w:color="auto" w:sz="8" w:space="0"/>
              <w:right w:val="single" w:color="auto" w:sz="8" w:space="0"/>
            </w:tcBorders>
            <w:shd w:val="clear" w:color="auto" w:fill="C5D9F1"/>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第二十条第（九）项</w:t>
            </w:r>
          </w:p>
        </w:tc>
      </w:tr>
      <w:tr>
        <w:tblPrEx>
          <w:tblCellMar>
            <w:top w:w="0" w:type="dxa"/>
            <w:left w:w="0" w:type="dxa"/>
            <w:bottom w:w="0" w:type="dxa"/>
            <w:right w:w="0" w:type="dxa"/>
          </w:tblCellMar>
        </w:tblPrEx>
        <w:trPr>
          <w:trHeight w:val="567" w:hRule="atLeast"/>
          <w:jc w:val="center"/>
        </w:trPr>
        <w:tc>
          <w:tcPr>
            <w:tcW w:w="2270"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信息内容</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采购项目数量</w:t>
            </w:r>
          </w:p>
        </w:tc>
        <w:tc>
          <w:tcPr>
            <w:tcW w:w="4539" w:type="dxa"/>
            <w:gridSpan w:val="2"/>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采购总金额</w:t>
            </w:r>
          </w:p>
        </w:tc>
      </w:tr>
      <w:tr>
        <w:tblPrEx>
          <w:tblCellMar>
            <w:top w:w="0" w:type="dxa"/>
            <w:left w:w="0" w:type="dxa"/>
            <w:bottom w:w="0" w:type="dxa"/>
            <w:right w:w="0" w:type="dxa"/>
          </w:tblCellMar>
        </w:tblPrEx>
        <w:trPr>
          <w:trHeight w:val="567" w:hRule="atLeast"/>
          <w:jc w:val="center"/>
        </w:trPr>
        <w:tc>
          <w:tcPr>
            <w:tcW w:w="2270"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政府集中采购</w:t>
            </w:r>
          </w:p>
        </w:tc>
        <w:tc>
          <w:tcPr>
            <w:tcW w:w="22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4539" w:type="dxa"/>
            <w:gridSpan w:val="2"/>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72"/>
        <w:jc w:val="left"/>
      </w:pPr>
      <w:r>
        <w:rPr>
          <w:rFonts w:hint="eastAsia" w:ascii="黑体" w:hAnsi="宋体" w:eastAsia="黑体" w:cs="黑体"/>
          <w:i w:val="0"/>
          <w:caps w:val="0"/>
          <w:color w:val="333333"/>
          <w:spacing w:val="8"/>
          <w:kern w:val="0"/>
          <w:sz w:val="32"/>
          <w:szCs w:val="32"/>
          <w:shd w:val="clear" w:fill="FFFFFF"/>
          <w:lang w:val="en-US" w:eastAsia="zh-CN" w:bidi="ar"/>
        </w:rPr>
        <w:t>三、收到和处理政府信息公开申请情况</w:t>
      </w:r>
    </w:p>
    <w:tbl>
      <w:tblPr>
        <w:tblStyle w:val="3"/>
        <w:tblW w:w="9195" w:type="dxa"/>
        <w:jc w:val="center"/>
        <w:shd w:val="clear" w:color="auto" w:fill="auto"/>
        <w:tblLayout w:type="autofit"/>
        <w:tblCellMar>
          <w:top w:w="0" w:type="dxa"/>
          <w:left w:w="0" w:type="dxa"/>
          <w:bottom w:w="0" w:type="dxa"/>
          <w:right w:w="0" w:type="dxa"/>
        </w:tblCellMar>
      </w:tblPr>
      <w:tblGrid>
        <w:gridCol w:w="705"/>
        <w:gridCol w:w="705"/>
        <w:gridCol w:w="2850"/>
        <w:gridCol w:w="705"/>
        <w:gridCol w:w="705"/>
        <w:gridCol w:w="705"/>
        <w:gridCol w:w="705"/>
        <w:gridCol w:w="705"/>
        <w:gridCol w:w="705"/>
        <w:gridCol w:w="705"/>
      </w:tblGrid>
      <w:tr>
        <w:tblPrEx>
          <w:shd w:val="clear" w:color="auto" w:fill="auto"/>
          <w:tblCellMar>
            <w:top w:w="0" w:type="dxa"/>
            <w:left w:w="0" w:type="dxa"/>
            <w:bottom w:w="0" w:type="dxa"/>
            <w:right w:w="0" w:type="dxa"/>
          </w:tblCellMar>
        </w:tblPrEx>
        <w:trPr>
          <w:trHeight w:val="660" w:hRule="atLeast"/>
          <w:jc w:val="center"/>
        </w:trPr>
        <w:tc>
          <w:tcPr>
            <w:tcW w:w="426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（本列数据的勾稽关系为：第一项加第二项之和，等于第三项加第四项之和）</w:t>
            </w:r>
          </w:p>
        </w:tc>
        <w:tc>
          <w:tcPr>
            <w:tcW w:w="4935" w:type="dxa"/>
            <w:gridSpan w:val="7"/>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申请人情况</w:t>
            </w:r>
          </w:p>
        </w:tc>
      </w:tr>
      <w:tr>
        <w:tblPrEx>
          <w:tblCellMar>
            <w:top w:w="0" w:type="dxa"/>
            <w:left w:w="0" w:type="dxa"/>
            <w:bottom w:w="0" w:type="dxa"/>
            <w:right w:w="0" w:type="dxa"/>
          </w:tblCellMar>
        </w:tblPrEx>
        <w:trPr>
          <w:trHeight w:val="660" w:hRule="atLeast"/>
          <w:jc w:val="center"/>
        </w:trPr>
        <w:tc>
          <w:tcPr>
            <w:tcW w:w="426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自然人</w:t>
            </w:r>
          </w:p>
        </w:tc>
        <w:tc>
          <w:tcPr>
            <w:tcW w:w="3525" w:type="dxa"/>
            <w:gridSpan w:val="5"/>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法人或其他组织</w:t>
            </w:r>
          </w:p>
        </w:tc>
        <w:tc>
          <w:tcPr>
            <w:tcW w:w="70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总计</w:t>
            </w:r>
          </w:p>
        </w:tc>
      </w:tr>
      <w:tr>
        <w:tblPrEx>
          <w:tblCellMar>
            <w:top w:w="0" w:type="dxa"/>
            <w:left w:w="0" w:type="dxa"/>
            <w:bottom w:w="0" w:type="dxa"/>
            <w:right w:w="0" w:type="dxa"/>
          </w:tblCellMar>
        </w:tblPrEx>
        <w:trPr>
          <w:trHeight w:val="660" w:hRule="atLeast"/>
          <w:jc w:val="center"/>
        </w:trPr>
        <w:tc>
          <w:tcPr>
            <w:tcW w:w="426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商业企业</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科研机构</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社会公益组织</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法律服务机构</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其他</w:t>
            </w:r>
          </w:p>
        </w:tc>
        <w:tc>
          <w:tcPr>
            <w:tcW w:w="70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sz w:val="24"/>
                <w:szCs w:val="24"/>
              </w:rPr>
            </w:pPr>
          </w:p>
        </w:tc>
      </w:tr>
      <w:tr>
        <w:tblPrEx>
          <w:tblCellMar>
            <w:top w:w="0" w:type="dxa"/>
            <w:left w:w="0" w:type="dxa"/>
            <w:bottom w:w="0" w:type="dxa"/>
            <w:right w:w="0" w:type="dxa"/>
          </w:tblCellMar>
        </w:tblPrEx>
        <w:trPr>
          <w:trHeight w:val="660" w:hRule="atLeast"/>
          <w:jc w:val="center"/>
        </w:trPr>
        <w:tc>
          <w:tcPr>
            <w:tcW w:w="4260" w:type="dxa"/>
            <w:gridSpan w:val="3"/>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一、本年新收政府信息公开申请数量</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4260" w:type="dxa"/>
            <w:gridSpan w:val="3"/>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二、上年结转政府信息公开申请数量</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三、本年度办理结果</w:t>
            </w:r>
          </w:p>
        </w:tc>
        <w:tc>
          <w:tcPr>
            <w:tcW w:w="355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（一）予以公开</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355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（二）部分公开（区分处理的，只记这一情形，不计其他情形）</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（三）不予公开</w:t>
            </w:r>
          </w:p>
        </w:tc>
        <w:tc>
          <w:tcPr>
            <w:tcW w:w="2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1.属于国家秘密</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sz w:val="24"/>
                <w:szCs w:val="24"/>
              </w:rPr>
            </w:pPr>
          </w:p>
        </w:tc>
        <w:tc>
          <w:tcPr>
            <w:tcW w:w="2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2.其他法律行政法规禁止公开</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sz w:val="24"/>
                <w:szCs w:val="24"/>
              </w:rPr>
            </w:pPr>
          </w:p>
        </w:tc>
        <w:tc>
          <w:tcPr>
            <w:tcW w:w="2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3.危及“三安全一稳定”</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sz w:val="24"/>
                <w:szCs w:val="24"/>
              </w:rPr>
            </w:pPr>
          </w:p>
        </w:tc>
        <w:tc>
          <w:tcPr>
            <w:tcW w:w="2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4.保护第三方合法权益</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sz w:val="24"/>
                <w:szCs w:val="24"/>
              </w:rPr>
            </w:pPr>
          </w:p>
        </w:tc>
        <w:tc>
          <w:tcPr>
            <w:tcW w:w="2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5.属于三类内部事务信息</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sz w:val="24"/>
                <w:szCs w:val="24"/>
              </w:rPr>
            </w:pPr>
          </w:p>
        </w:tc>
        <w:tc>
          <w:tcPr>
            <w:tcW w:w="2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6.属于四类过程性信息</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sz w:val="24"/>
                <w:szCs w:val="24"/>
              </w:rPr>
            </w:pPr>
          </w:p>
        </w:tc>
        <w:tc>
          <w:tcPr>
            <w:tcW w:w="2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7.属于行政执法案卷</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sz w:val="24"/>
                <w:szCs w:val="24"/>
              </w:rPr>
            </w:pPr>
          </w:p>
        </w:tc>
        <w:tc>
          <w:tcPr>
            <w:tcW w:w="2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8.属于行政查询事项</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（四）无法提供</w:t>
            </w:r>
          </w:p>
        </w:tc>
        <w:tc>
          <w:tcPr>
            <w:tcW w:w="2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1.本机关不掌握相关政府信息</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sz w:val="24"/>
                <w:szCs w:val="24"/>
              </w:rPr>
            </w:pPr>
          </w:p>
        </w:tc>
        <w:tc>
          <w:tcPr>
            <w:tcW w:w="2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2.没有现成信息需要另行制作</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sz w:val="24"/>
                <w:szCs w:val="24"/>
              </w:rPr>
            </w:pPr>
          </w:p>
        </w:tc>
        <w:tc>
          <w:tcPr>
            <w:tcW w:w="2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3.补正后申请内容仍不明确</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（五）不予处理</w:t>
            </w:r>
          </w:p>
        </w:tc>
        <w:tc>
          <w:tcPr>
            <w:tcW w:w="2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1.信访举报投诉类申请</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sz w:val="24"/>
                <w:szCs w:val="24"/>
              </w:rPr>
            </w:pPr>
          </w:p>
        </w:tc>
        <w:tc>
          <w:tcPr>
            <w:tcW w:w="2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2.重复申请</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sz w:val="24"/>
                <w:szCs w:val="24"/>
              </w:rPr>
            </w:pPr>
          </w:p>
        </w:tc>
        <w:tc>
          <w:tcPr>
            <w:tcW w:w="2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3.要求提供公开出版物</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sz w:val="24"/>
                <w:szCs w:val="24"/>
              </w:rPr>
            </w:pPr>
          </w:p>
        </w:tc>
        <w:tc>
          <w:tcPr>
            <w:tcW w:w="2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4.无正当理由大量反复申请</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70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sz w:val="24"/>
                <w:szCs w:val="24"/>
              </w:rPr>
            </w:pPr>
          </w:p>
        </w:tc>
        <w:tc>
          <w:tcPr>
            <w:tcW w:w="2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5.要求行政机关确认或重新出具已获取信息</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355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（六）其他处理</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355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（七）总计</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r>
        <w:tblPrEx>
          <w:tblCellMar>
            <w:top w:w="0" w:type="dxa"/>
            <w:left w:w="0" w:type="dxa"/>
            <w:bottom w:w="0" w:type="dxa"/>
            <w:right w:w="0" w:type="dxa"/>
          </w:tblCellMar>
        </w:tblPrEx>
        <w:trPr>
          <w:trHeight w:val="660" w:hRule="atLeast"/>
          <w:jc w:val="center"/>
        </w:trPr>
        <w:tc>
          <w:tcPr>
            <w:tcW w:w="4260" w:type="dxa"/>
            <w:gridSpan w:val="3"/>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color w:val="333333"/>
                <w:kern w:val="0"/>
                <w:sz w:val="22"/>
                <w:szCs w:val="22"/>
                <w:lang w:val="en-US" w:eastAsia="zh-CN" w:bidi="ar"/>
              </w:rPr>
              <w:t>四、结转下年度继续办理</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i w:val="0"/>
          <w:caps w:val="0"/>
          <w:color w:val="333333"/>
          <w:spacing w:val="8"/>
          <w:kern w:val="0"/>
          <w:sz w:val="32"/>
          <w:szCs w:val="32"/>
          <w:shd w:val="clear" w:fill="FFFFFF"/>
          <w:lang w:val="en-US" w:eastAsia="zh-CN" w:bidi="ar"/>
        </w:rPr>
        <w:t> </w:t>
      </w:r>
      <w:r>
        <w:rPr>
          <w:rFonts w:hint="eastAsia" w:ascii="黑体" w:hAnsi="宋体" w:eastAsia="黑体" w:cs="黑体"/>
          <w:i w:val="0"/>
          <w:caps w:val="0"/>
          <w:color w:val="333333"/>
          <w:spacing w:val="8"/>
          <w:kern w:val="0"/>
          <w:sz w:val="32"/>
          <w:szCs w:val="32"/>
          <w:shd w:val="clear" w:fill="FFFFFF"/>
          <w:lang w:val="en-US" w:eastAsia="zh-CN" w:bidi="ar"/>
        </w:rPr>
        <w:t> </w:t>
      </w:r>
      <w:r>
        <w:rPr>
          <w:rFonts w:hint="eastAsia" w:ascii="宋体" w:hAnsi="宋体" w:eastAsia="宋体" w:cs="宋体"/>
          <w:i w:val="0"/>
          <w:caps w:val="0"/>
          <w:color w:val="333333"/>
          <w:spacing w:val="8"/>
          <w:kern w:val="0"/>
          <w:sz w:val="32"/>
          <w:szCs w:val="32"/>
          <w:shd w:val="clear" w:fill="FFFFFF"/>
          <w:lang w:val="en-US" w:eastAsia="zh-CN" w:bidi="ar"/>
        </w:rPr>
        <w:t> </w:t>
      </w:r>
      <w:r>
        <w:rPr>
          <w:rFonts w:hint="eastAsia" w:ascii="黑体" w:hAnsi="宋体" w:eastAsia="黑体" w:cs="黑体"/>
          <w:i w:val="0"/>
          <w:caps w:val="0"/>
          <w:color w:val="333333"/>
          <w:spacing w:val="8"/>
          <w:kern w:val="0"/>
          <w:sz w:val="32"/>
          <w:szCs w:val="32"/>
          <w:shd w:val="clear" w:fill="FFFFFF"/>
          <w:lang w:val="en-US" w:eastAsia="zh-CN" w:bidi="ar"/>
        </w:rPr>
        <w:t> 四、政府信息公开行政复议、行政诉讼情况</w:t>
      </w:r>
    </w:p>
    <w:tbl>
      <w:tblPr>
        <w:tblStyle w:val="3"/>
        <w:tblW w:w="0" w:type="auto"/>
        <w:jc w:val="center"/>
        <w:shd w:val="clear" w:color="auto" w:fill="auto"/>
        <w:tblLayout w:type="autofit"/>
        <w:tblCellMar>
          <w:top w:w="0" w:type="dxa"/>
          <w:left w:w="0" w:type="dxa"/>
          <w:bottom w:w="0" w:type="dxa"/>
          <w:right w:w="0" w:type="dxa"/>
        </w:tblCellMar>
      </w:tblPr>
      <w:tblGrid>
        <w:gridCol w:w="555"/>
        <w:gridCol w:w="555"/>
        <w:gridCol w:w="555"/>
        <w:gridCol w:w="555"/>
        <w:gridCol w:w="556"/>
        <w:gridCol w:w="556"/>
        <w:gridCol w:w="556"/>
        <w:gridCol w:w="556"/>
        <w:gridCol w:w="556"/>
        <w:gridCol w:w="556"/>
        <w:gridCol w:w="556"/>
        <w:gridCol w:w="556"/>
        <w:gridCol w:w="556"/>
        <w:gridCol w:w="556"/>
        <w:gridCol w:w="556"/>
      </w:tblGrid>
      <w:tr>
        <w:tblPrEx>
          <w:shd w:val="clear" w:color="auto" w:fill="auto"/>
          <w:tblCellMar>
            <w:top w:w="0" w:type="dxa"/>
            <w:left w:w="0" w:type="dxa"/>
            <w:bottom w:w="0" w:type="dxa"/>
            <w:right w:w="0" w:type="dxa"/>
          </w:tblCellMar>
        </w:tblPrEx>
        <w:trPr>
          <w:trHeight w:val="1200" w:hRule="atLeast"/>
          <w:jc w:val="center"/>
        </w:trPr>
        <w:tc>
          <w:tcPr>
            <w:tcW w:w="2776"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行政复议</w:t>
            </w:r>
          </w:p>
        </w:tc>
        <w:tc>
          <w:tcPr>
            <w:tcW w:w="5560" w:type="dxa"/>
            <w:gridSpan w:val="10"/>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行政诉讼</w:t>
            </w:r>
          </w:p>
        </w:tc>
      </w:tr>
      <w:tr>
        <w:tblPrEx>
          <w:tblCellMar>
            <w:top w:w="0" w:type="dxa"/>
            <w:left w:w="0" w:type="dxa"/>
            <w:bottom w:w="0" w:type="dxa"/>
            <w:right w:w="0" w:type="dxa"/>
          </w:tblCellMar>
        </w:tblPrEx>
        <w:trPr>
          <w:trHeight w:val="1200" w:hRule="atLeast"/>
          <w:jc w:val="center"/>
        </w:trPr>
        <w:tc>
          <w:tcPr>
            <w:tcW w:w="555"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结果维持</w:t>
            </w:r>
          </w:p>
        </w:tc>
        <w:tc>
          <w:tcPr>
            <w:tcW w:w="555"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结果纠正</w:t>
            </w:r>
          </w:p>
        </w:tc>
        <w:tc>
          <w:tcPr>
            <w:tcW w:w="555"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其他结果</w:t>
            </w:r>
          </w:p>
        </w:tc>
        <w:tc>
          <w:tcPr>
            <w:tcW w:w="555"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尚未审结</w:t>
            </w:r>
          </w:p>
        </w:tc>
        <w:tc>
          <w:tcPr>
            <w:tcW w:w="556" w:type="dxa"/>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总计</w:t>
            </w:r>
          </w:p>
        </w:tc>
        <w:tc>
          <w:tcPr>
            <w:tcW w:w="2780" w:type="dxa"/>
            <w:gridSpan w:val="5"/>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未经复议直接起诉</w:t>
            </w:r>
          </w:p>
        </w:tc>
        <w:tc>
          <w:tcPr>
            <w:tcW w:w="2780" w:type="dxa"/>
            <w:gridSpan w:val="5"/>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复议后起诉</w:t>
            </w:r>
          </w:p>
        </w:tc>
      </w:tr>
      <w:tr>
        <w:tblPrEx>
          <w:tblCellMar>
            <w:top w:w="0" w:type="dxa"/>
            <w:left w:w="0" w:type="dxa"/>
            <w:bottom w:w="0" w:type="dxa"/>
            <w:right w:w="0" w:type="dxa"/>
          </w:tblCellMar>
        </w:tblPrEx>
        <w:trPr>
          <w:trHeight w:val="1200" w:hRule="atLeast"/>
          <w:jc w:val="center"/>
        </w:trPr>
        <w:tc>
          <w:tcPr>
            <w:tcW w:w="555"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555"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555"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555"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556" w:type="dxa"/>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结果维持</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结果纠正</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其他结果</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尚未审结</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总计</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结果维持</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结果纠正</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其他结果</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尚未审结</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2"/>
                <w:szCs w:val="22"/>
                <w:lang w:val="en-US" w:eastAsia="zh-CN" w:bidi="ar"/>
              </w:rPr>
              <w:t>总计</w:t>
            </w:r>
          </w:p>
        </w:tc>
      </w:tr>
      <w:tr>
        <w:tblPrEx>
          <w:tblCellMar>
            <w:top w:w="0" w:type="dxa"/>
            <w:left w:w="0" w:type="dxa"/>
            <w:bottom w:w="0" w:type="dxa"/>
            <w:right w:w="0" w:type="dxa"/>
          </w:tblCellMar>
        </w:tblPrEx>
        <w:trPr>
          <w:trHeight w:val="1200" w:hRule="atLeast"/>
          <w:jc w:val="center"/>
        </w:trPr>
        <w:tc>
          <w:tcPr>
            <w:tcW w:w="555"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4"/>
                <w:szCs w:val="24"/>
                <w:lang w:val="en-US" w:eastAsia="zh-CN" w:bidi="ar"/>
              </w:rPr>
              <w:t>0</w:t>
            </w:r>
          </w:p>
        </w:tc>
        <w:tc>
          <w:tcPr>
            <w:tcW w:w="55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4"/>
                <w:szCs w:val="24"/>
                <w:lang w:val="en-US" w:eastAsia="zh-CN" w:bidi="ar"/>
              </w:rPr>
              <w:t>0</w:t>
            </w:r>
          </w:p>
        </w:tc>
        <w:tc>
          <w:tcPr>
            <w:tcW w:w="55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4"/>
                <w:szCs w:val="24"/>
                <w:lang w:val="en-US" w:eastAsia="zh-CN" w:bidi="ar"/>
              </w:rPr>
              <w:t>0</w:t>
            </w:r>
          </w:p>
        </w:tc>
        <w:tc>
          <w:tcPr>
            <w:tcW w:w="55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4"/>
                <w:szCs w:val="24"/>
                <w:lang w:val="en-US" w:eastAsia="zh-CN" w:bidi="ar"/>
              </w:rPr>
              <w:t>0</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4"/>
                <w:szCs w:val="24"/>
                <w:lang w:val="en-US" w:eastAsia="zh-CN" w:bidi="ar"/>
              </w:rPr>
              <w:t>0</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4"/>
                <w:szCs w:val="24"/>
                <w:lang w:val="en-US" w:eastAsia="zh-CN" w:bidi="ar"/>
              </w:rPr>
              <w:t>0</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4"/>
                <w:szCs w:val="24"/>
                <w:lang w:val="en-US" w:eastAsia="zh-CN" w:bidi="ar"/>
              </w:rPr>
              <w:t>0</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4"/>
                <w:szCs w:val="24"/>
                <w:lang w:val="en-US" w:eastAsia="zh-CN" w:bidi="ar"/>
              </w:rPr>
              <w:t>0</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4"/>
                <w:szCs w:val="24"/>
                <w:lang w:val="en-US" w:eastAsia="zh-CN" w:bidi="ar"/>
              </w:rPr>
              <w:t>0</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4"/>
                <w:szCs w:val="24"/>
                <w:lang w:val="en-US" w:eastAsia="zh-CN" w:bidi="ar"/>
              </w:rPr>
              <w:t>0</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4"/>
                <w:szCs w:val="24"/>
                <w:lang w:val="en-US" w:eastAsia="zh-CN" w:bidi="ar"/>
              </w:rPr>
              <w:t>0</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4"/>
                <w:szCs w:val="24"/>
                <w:lang w:val="en-US" w:eastAsia="zh-CN" w:bidi="ar"/>
              </w:rPr>
              <w:t>0</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4"/>
                <w:szCs w:val="24"/>
                <w:lang w:val="en-US" w:eastAsia="zh-CN" w:bidi="ar"/>
              </w:rPr>
              <w:t>0</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4"/>
                <w:szCs w:val="24"/>
                <w:lang w:val="en-US" w:eastAsia="zh-CN" w:bidi="ar"/>
              </w:rPr>
              <w:t>0</w:t>
            </w:r>
          </w:p>
        </w:tc>
        <w:tc>
          <w:tcPr>
            <w:tcW w:w="556"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4"/>
                <w:szCs w:val="24"/>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72"/>
        <w:jc w:val="both"/>
      </w:pPr>
      <w:r>
        <w:rPr>
          <w:rStyle w:val="5"/>
          <w:rFonts w:hint="eastAsia" w:ascii="黑体" w:hAnsi="宋体" w:eastAsia="黑体" w:cs="黑体"/>
          <w:b w:val="0"/>
          <w:i w:val="0"/>
          <w:caps w:val="0"/>
          <w:color w:val="333333"/>
          <w:spacing w:val="8"/>
          <w:sz w:val="32"/>
          <w:szCs w:val="32"/>
          <w:shd w:val="clear" w:fill="FFFFFF"/>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90" w:lineRule="atLeast"/>
        <w:ind w:left="0" w:right="0" w:firstLine="0"/>
        <w:jc w:val="left"/>
        <w:rPr>
          <w:rFonts w:hint="eastAsia" w:ascii="仿宋" w:hAnsi="仿宋" w:eastAsia="仿宋" w:cs="仿宋"/>
        </w:rPr>
      </w:pPr>
      <w:r>
        <w:rPr>
          <w:rFonts w:hint="eastAsia" w:ascii="宋体" w:hAnsi="宋体" w:eastAsia="宋体" w:cs="宋体"/>
          <w:i w:val="0"/>
          <w:caps w:val="0"/>
          <w:color w:val="333333"/>
          <w:spacing w:val="8"/>
          <w:kern w:val="0"/>
          <w:sz w:val="32"/>
          <w:szCs w:val="32"/>
          <w:shd w:val="clear" w:fill="FFFFFF"/>
          <w:lang w:val="en-US" w:eastAsia="zh-CN" w:bidi="ar"/>
        </w:rPr>
        <w:t> </w:t>
      </w:r>
      <w:r>
        <w:rPr>
          <w:rFonts w:hint="eastAsia" w:ascii="仿宋" w:hAnsi="仿宋" w:eastAsia="仿宋" w:cs="仿宋"/>
          <w:i w:val="0"/>
          <w:caps w:val="0"/>
          <w:color w:val="333333"/>
          <w:spacing w:val="8"/>
          <w:kern w:val="0"/>
          <w:sz w:val="32"/>
          <w:szCs w:val="32"/>
          <w:shd w:val="clear" w:fill="FFFFFF"/>
          <w:lang w:val="en-US" w:eastAsia="zh-CN" w:bidi="ar"/>
        </w:rPr>
        <w:t> </w:t>
      </w:r>
      <w:r>
        <w:rPr>
          <w:rFonts w:hint="eastAsia" w:ascii="仿宋" w:hAnsi="仿宋" w:eastAsia="仿宋" w:cs="仿宋"/>
          <w:i w:val="0"/>
          <w:caps w:val="0"/>
          <w:color w:val="333333"/>
          <w:spacing w:val="0"/>
          <w:kern w:val="0"/>
          <w:sz w:val="32"/>
          <w:szCs w:val="32"/>
          <w:shd w:val="clear" w:fill="FFFFFF"/>
          <w:lang w:val="en-US" w:eastAsia="zh-CN" w:bidi="ar"/>
        </w:rPr>
        <w:t>一是信息公开的内容有待进一步完善，时效性有待进一步加强。二是信息公开的规范性、专业性和责任机制有待加强。</w:t>
      </w:r>
      <w:r>
        <w:rPr>
          <w:rFonts w:hint="eastAsia" w:ascii="仿宋" w:hAnsi="仿宋" w:eastAsia="仿宋" w:cs="仿宋"/>
          <w:i w:val="0"/>
          <w:caps w:val="0"/>
          <w:color w:val="333333"/>
          <w:spacing w:val="0"/>
          <w:kern w:val="0"/>
          <w:sz w:val="30"/>
          <w:szCs w:val="30"/>
          <w:shd w:val="clear" w:fill="FFFFFF"/>
          <w:lang w:val="en-US" w:eastAsia="zh-CN" w:bidi="ar"/>
        </w:rPr>
        <w:t>三是信息展示方式有待改进、信息发布更新有待提速、信息公开质量有待提高。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90" w:lineRule="atLeast"/>
        <w:ind w:left="0" w:right="0" w:firstLine="600" w:firstLineChars="200"/>
        <w:jc w:val="left"/>
        <w:rPr>
          <w:rFonts w:hint="eastAsia" w:ascii="仿宋" w:hAnsi="仿宋" w:eastAsia="仿宋" w:cs="仿宋"/>
        </w:rPr>
      </w:pPr>
      <w:r>
        <w:rPr>
          <w:rFonts w:hint="eastAsia" w:ascii="仿宋" w:hAnsi="仿宋" w:eastAsia="仿宋" w:cs="仿宋"/>
          <w:i w:val="0"/>
          <w:caps w:val="0"/>
          <w:color w:val="333333"/>
          <w:spacing w:val="0"/>
          <w:kern w:val="0"/>
          <w:sz w:val="30"/>
          <w:szCs w:val="30"/>
          <w:shd w:val="clear" w:fill="FFFFFF"/>
          <w:lang w:val="en-US" w:eastAsia="zh-CN" w:bidi="ar"/>
        </w:rPr>
        <w:t>改进措施：加强政务公开日常管理，严格落实政务公开各项制度，加强政府信息公开的监督、检查及考核工作。继续重点推进与社会发展和群众生活密切相关的政府信息公开，及时更新公开信息内容、拓宽丰富公开渠道，持续加强信息公开平台建设，及时、准确地向社会公开政府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72"/>
        <w:jc w:val="left"/>
      </w:pPr>
      <w:r>
        <w:rPr>
          <w:rFonts w:hint="eastAsia" w:ascii="黑体" w:hAnsi="宋体" w:eastAsia="黑体" w:cs="黑体"/>
          <w:i w:val="0"/>
          <w:caps w:val="0"/>
          <w:color w:val="333333"/>
          <w:spacing w:val="8"/>
          <w:kern w:val="0"/>
          <w:sz w:val="32"/>
          <w:szCs w:val="32"/>
          <w:shd w:val="clear" w:fill="FFFFFF"/>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围绕全区中心工作和社会关注的热点、难点问题，不断完善政府信息公开的内容，规范化发展，深入、持续、高效地开展政府信息公开工作。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333333"/>
          <w:spacing w:val="0"/>
          <w:kern w:val="0"/>
          <w:sz w:val="24"/>
          <w:szCs w:val="24"/>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E5CAF"/>
    <w:rsid w:val="105C6784"/>
    <w:rsid w:val="363F29B9"/>
    <w:rsid w:val="37813B12"/>
    <w:rsid w:val="3EF6346A"/>
    <w:rsid w:val="65A6754F"/>
    <w:rsid w:val="74A20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Administrator.WIN-SAMKHVCVBGL</dc:creator>
  <cp:lastModifiedBy>Administrator</cp:lastModifiedBy>
  <cp:lastPrinted>2021-01-12T06:51:00Z</cp:lastPrinted>
  <dcterms:modified xsi:type="dcterms:W3CDTF">2021-01-29T02:28:52Z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