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center"/>
        <w:rPr>
          <w:rFonts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000000"/>
          <w:spacing w:val="0"/>
          <w:kern w:val="0"/>
          <w:sz w:val="36"/>
          <w:szCs w:val="36"/>
          <w:bdr w:val="none" w:color="auto" w:sz="0" w:space="0"/>
          <w:shd w:val="clear" w:fill="FFFFFF"/>
          <w:lang w:val="en-US" w:eastAsia="zh-CN" w:bidi="ar"/>
        </w:rPr>
        <w:t>前进区营商环境建设监督局2021年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_GBK" w:hAnsi="方正小标宋_GBK" w:eastAsia="方正小标宋_GBK" w:cs="方正小标宋_GBK"/>
          <w:i w:val="0"/>
          <w:iCs w:val="0"/>
          <w:caps w:val="0"/>
          <w:color w:val="000000"/>
          <w:spacing w:val="0"/>
          <w:kern w:val="0"/>
          <w:sz w:val="36"/>
          <w:szCs w:val="36"/>
          <w:bdr w:val="none" w:color="auto" w:sz="0" w:space="0"/>
          <w:shd w:val="clear" w:fill="FFFFFF"/>
          <w:lang w:val="en-US" w:eastAsia="zh-CN" w:bidi="ar"/>
        </w:rPr>
        <w:t>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本报告根据《中华人民共和国政府信息公开条例》（以下简称《条例》）要求，由前进区营商环境建设监督局编制，特向社会公布</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年度本机关信息公开年度报告。本报告中所列数据的统计期限自</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日起至</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12</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日止。如对本报告有任何疑问，请与前进区营商环境建设监督局办公室联系（联系电话：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0454-8839267</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8"/>
          <w:sz w:val="32"/>
          <w:szCs w:val="32"/>
          <w:bdr w:val="none" w:color="auto" w:sz="0" w:space="0"/>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2021</w:t>
      </w:r>
      <w:r>
        <w:rPr>
          <w:rFonts w:hint="default" w:ascii="仿宋_GB2312" w:hAnsi="Times New Roman" w:eastAsia="仿宋_GB2312" w:cs="仿宋_GB2312"/>
          <w:i w:val="0"/>
          <w:iCs w:val="0"/>
          <w:caps w:val="0"/>
          <w:color w:val="333333"/>
          <w:spacing w:val="0"/>
          <w:sz w:val="32"/>
          <w:szCs w:val="32"/>
          <w:bdr w:val="none" w:color="auto" w:sz="0" w:space="0"/>
          <w:shd w:val="clear" w:fill="FFFFFF"/>
        </w:rPr>
        <w:t>年，前进区营商环境建设监督局认真学习贯彻习近平新时代中国特色社会主义思想、党的十九届六中全会精神，按照区政府关于政务公开工作部署要求，依照《条例》相关规定，主动公开重要信息，充分结合本职工作，果断采取有效举措，切实保障人民群众知情权和监督权，有力推进我区的优化营商环境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是加强政务公开。前进区营商环境建设监督局高度重视政府政务公开工作，切实履行政府信息公开工作职责，立足前进区优化营商工作的实际和特色，将便民利民作为信息公开工作的出发点和落脚点，紧紧把握数字化转型机遇，积极做好政务公开工作，对政务公开工作进行深入探讨和集中学习，倾力打造前进区政务服务中心</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阳光政务、暖心服务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的服务品牌，大大提升了群众对前进区政务环境的认可度和满意度。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二是创新服务理念。前进区营环境建设监督局认真贯彻落实《黑龙江省优化营商环境条例》《黑龙江省营商环境监督办法》，通过门户网站、微信公众号等媒体渠道，主动公开关于优化营商环境工作、信用体系建设、放管服改革推进、政府部门权责清单调整等信息，及时关注社会舆论及群众意见，做到有求必应，有问必答。使企业和群众及时有效地了解区营商环境建设监督工作的进展及突破性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三是拓宽监督方式。畅通优化营商环境投诉举报平台及市</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12345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务服务便民热线，明确了受理范围、受理方式、办结方式、事后回访、质效考评等环节。制作并向企业和群众发放了营商环境联系卡，在前进新时代微信公众号上发布《关于征集前进区影响营商环境问题的线索的通告》，对营商环境带来不良影响的主体做到</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查处一个、震慑一片</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，使优化营商环境工作落在实处，保障成效。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560"/>
        <w:jc w:val="left"/>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000000"/>
          <w:spacing w:val="0"/>
          <w:kern w:val="0"/>
          <w:sz w:val="28"/>
          <w:szCs w:val="28"/>
          <w:bdr w:val="none" w:color="auto" w:sz="0" w:space="0"/>
          <w:shd w:val="clear" w:fill="FFFFFF"/>
          <w:lang w:val="en-US" w:eastAsia="zh-CN" w:bidi="ar"/>
        </w:rPr>
        <w:t>二、主动公开政府信息情况</w:t>
      </w:r>
    </w:p>
    <w:tbl>
      <w:tblPr>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68"/>
        <w:gridCol w:w="2268"/>
        <w:gridCol w:w="2268"/>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9072" w:type="dxa"/>
            <w:gridSpan w:val="4"/>
            <w:tcBorders>
              <w:top w:val="single" w:color="auto" w:sz="8" w:space="0"/>
              <w:left w:val="single" w:color="auto" w:sz="8" w:space="0"/>
              <w:bottom w:val="single" w:color="auto" w:sz="8" w:space="0"/>
              <w:right w:val="single" w:color="auto" w:sz="8" w:space="0"/>
            </w:tcBorders>
            <w:shd w:val="clear" w:color="auto" w:fill="B4C6E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ascii="方正书宋_GBK" w:hAnsi="方正书宋_GBK" w:eastAsia="方正书宋_GBK" w:cs="方正书宋_GBK"/>
                <w:color w:val="000000"/>
                <w:kern w:val="0"/>
                <w:sz w:val="21"/>
                <w:szCs w:val="21"/>
                <w:bdr w:val="none" w:color="auto" w:sz="0" w:space="0"/>
                <w:lang w:val="en-US" w:eastAsia="zh-CN" w:bidi="ar"/>
              </w:rPr>
              <w:t>信息内容</w:t>
            </w:r>
          </w:p>
        </w:tc>
        <w:tc>
          <w:tcPr>
            <w:tcW w:w="2268"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本年制发件数</w:t>
            </w:r>
          </w:p>
        </w:tc>
        <w:tc>
          <w:tcPr>
            <w:tcW w:w="2268"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本年废止件数</w:t>
            </w:r>
          </w:p>
        </w:tc>
        <w:tc>
          <w:tcPr>
            <w:tcW w:w="2268"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规章</w:t>
            </w:r>
          </w:p>
        </w:tc>
        <w:tc>
          <w:tcPr>
            <w:tcW w:w="226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　　</w:t>
            </w: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226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 </w:t>
            </w:r>
            <w:r>
              <w:rPr>
                <w:rFonts w:hint="default" w:ascii="方正书宋_GBK" w:hAnsi="方正书宋_GBK" w:eastAsia="方正书宋_GBK" w:cs="方正书宋_GBK"/>
                <w:color w:val="000000"/>
                <w:kern w:val="0"/>
                <w:sz w:val="21"/>
                <w:szCs w:val="21"/>
                <w:bdr w:val="none" w:color="auto" w:sz="0" w:space="0"/>
                <w:lang w:val="en-US" w:eastAsia="zh-CN" w:bidi="ar"/>
              </w:rPr>
              <w:t>　</w:t>
            </w: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226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行政规范性文件</w:t>
            </w:r>
          </w:p>
        </w:tc>
        <w:tc>
          <w:tcPr>
            <w:tcW w:w="226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　　</w:t>
            </w: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226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 </w:t>
            </w:r>
            <w:r>
              <w:rPr>
                <w:rFonts w:hint="default" w:ascii="方正书宋_GBK" w:hAnsi="方正书宋_GBK" w:eastAsia="方正书宋_GBK" w:cs="方正书宋_GBK"/>
                <w:color w:val="000000"/>
                <w:kern w:val="0"/>
                <w:sz w:val="21"/>
                <w:szCs w:val="21"/>
                <w:bdr w:val="none" w:color="auto" w:sz="0" w:space="0"/>
                <w:lang w:val="en-US" w:eastAsia="zh-CN" w:bidi="ar"/>
              </w:rPr>
              <w:t>　</w:t>
            </w: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226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9072" w:type="dxa"/>
            <w:gridSpan w:val="4"/>
            <w:tcBorders>
              <w:top w:val="nil"/>
              <w:left w:val="single" w:color="auto" w:sz="8" w:space="0"/>
              <w:bottom w:val="single" w:color="auto" w:sz="8" w:space="0"/>
              <w:right w:val="single" w:color="auto" w:sz="8" w:space="0"/>
            </w:tcBorders>
            <w:shd w:val="clear" w:color="auto" w:fill="B4C6E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bdr w:val="none" w:color="auto" w:sz="0" w:space="0"/>
                <w:lang w:val="en-US" w:eastAsia="zh-CN" w:bidi="ar"/>
              </w:rPr>
              <w:t>信息内容</w:t>
            </w:r>
          </w:p>
        </w:tc>
        <w:tc>
          <w:tcPr>
            <w:tcW w:w="6804" w:type="dxa"/>
            <w:gridSpan w:val="3"/>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行政许可</w:t>
            </w:r>
          </w:p>
        </w:tc>
        <w:tc>
          <w:tcPr>
            <w:tcW w:w="6804" w:type="dxa"/>
            <w:gridSpan w:val="3"/>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9072" w:type="dxa"/>
            <w:gridSpan w:val="4"/>
            <w:tcBorders>
              <w:top w:val="nil"/>
              <w:left w:val="single" w:color="auto" w:sz="8" w:space="0"/>
              <w:bottom w:val="single" w:color="auto" w:sz="8" w:space="0"/>
              <w:right w:val="single" w:color="auto" w:sz="8" w:space="0"/>
            </w:tcBorders>
            <w:shd w:val="clear" w:color="auto" w:fill="B4C6E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bdr w:val="none" w:color="auto" w:sz="0" w:space="0"/>
                <w:lang w:val="en-US" w:eastAsia="zh-CN" w:bidi="ar"/>
              </w:rPr>
              <w:t>信息内容</w:t>
            </w:r>
          </w:p>
        </w:tc>
        <w:tc>
          <w:tcPr>
            <w:tcW w:w="6804" w:type="dxa"/>
            <w:gridSpan w:val="3"/>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行政处罚</w:t>
            </w:r>
          </w:p>
        </w:tc>
        <w:tc>
          <w:tcPr>
            <w:tcW w:w="6804" w:type="dxa"/>
            <w:gridSpan w:val="3"/>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　</w:t>
            </w: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行政强制</w:t>
            </w:r>
          </w:p>
        </w:tc>
        <w:tc>
          <w:tcPr>
            <w:tcW w:w="6804" w:type="dxa"/>
            <w:gridSpan w:val="3"/>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　</w:t>
            </w: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9072" w:type="dxa"/>
            <w:gridSpan w:val="4"/>
            <w:tcBorders>
              <w:top w:val="nil"/>
              <w:left w:val="single" w:color="auto" w:sz="8" w:space="0"/>
              <w:bottom w:val="single" w:color="auto" w:sz="8" w:space="0"/>
              <w:right w:val="single" w:color="auto" w:sz="8" w:space="0"/>
            </w:tcBorders>
            <w:shd w:val="clear" w:color="auto" w:fill="B4C6E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bdr w:val="none" w:color="auto" w:sz="0" w:space="0"/>
                <w:lang w:val="en-US" w:eastAsia="zh-CN" w:bidi="ar"/>
              </w:rPr>
              <w:t>信息内容</w:t>
            </w:r>
          </w:p>
        </w:tc>
        <w:tc>
          <w:tcPr>
            <w:tcW w:w="6804" w:type="dxa"/>
            <w:gridSpan w:val="3"/>
            <w:tcBorders>
              <w:top w:val="nil"/>
              <w:left w:val="nil"/>
              <w:bottom w:val="single" w:color="auto" w:sz="8" w:space="0"/>
              <w:right w:val="single" w:color="000000"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268"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行政事业性收费</w:t>
            </w:r>
          </w:p>
        </w:tc>
        <w:tc>
          <w:tcPr>
            <w:tcW w:w="6804" w:type="dxa"/>
            <w:gridSpan w:val="3"/>
            <w:tcBorders>
              <w:top w:val="nil"/>
              <w:left w:val="nil"/>
              <w:bottom w:val="single" w:color="auto" w:sz="8" w:space="0"/>
              <w:right w:val="single" w:color="000000"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560"/>
        <w:jc w:val="left"/>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28"/>
          <w:szCs w:val="28"/>
          <w:bdr w:val="none" w:color="auto" w:sz="0" w:space="0"/>
          <w:shd w:val="clear" w:fill="FFFFFF"/>
          <w:lang w:val="en-US" w:eastAsia="zh-CN" w:bidi="ar"/>
        </w:rPr>
        <w:t>三、收到和处理政府信息公开申请情况</w:t>
      </w:r>
    </w:p>
    <w:tbl>
      <w:tblPr>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9"/>
        <w:gridCol w:w="1106"/>
        <w:gridCol w:w="2744"/>
        <w:gridCol w:w="854"/>
        <w:gridCol w:w="643"/>
        <w:gridCol w:w="714"/>
        <w:gridCol w:w="658"/>
        <w:gridCol w:w="616"/>
        <w:gridCol w:w="420"/>
        <w:gridCol w:w="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4719" w:type="dxa"/>
            <w:gridSpan w:val="3"/>
            <w:vMerge w:val="restart"/>
            <w:tcBorders>
              <w:top w:val="single" w:color="auto" w:sz="8" w:space="0"/>
              <w:left w:val="single" w:color="auto" w:sz="8" w:space="0"/>
              <w:bottom w:val="inset"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ascii="仿宋" w:hAnsi="仿宋" w:eastAsia="仿宋" w:cs="仿宋"/>
                <w:color w:val="000000"/>
                <w:kern w:val="0"/>
                <w:sz w:val="21"/>
                <w:szCs w:val="21"/>
                <w:bdr w:val="none" w:color="auto" w:sz="0" w:space="0"/>
                <w:lang w:val="en-US" w:eastAsia="zh-CN" w:bidi="ar"/>
              </w:rPr>
              <w:t>（本列数据的勾稽关系为：第一项加第二项之和，等于第三项加第四项之和）</w:t>
            </w:r>
          </w:p>
        </w:tc>
        <w:tc>
          <w:tcPr>
            <w:tcW w:w="4353" w:type="dxa"/>
            <w:gridSpan w:val="7"/>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4719" w:type="dxa"/>
            <w:gridSpan w:val="3"/>
            <w:vMerge w:val="continue"/>
            <w:tcBorders>
              <w:top w:val="single" w:color="auto" w:sz="8" w:space="0"/>
              <w:left w:val="single" w:color="auto" w:sz="8" w:space="0"/>
              <w:bottom w:val="inset"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restart"/>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自然人</w:t>
            </w:r>
          </w:p>
        </w:tc>
        <w:tc>
          <w:tcPr>
            <w:tcW w:w="3051" w:type="dxa"/>
            <w:gridSpan w:val="5"/>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法人或其他组织</w:t>
            </w:r>
          </w:p>
        </w:tc>
        <w:tc>
          <w:tcPr>
            <w:tcW w:w="448" w:type="dxa"/>
            <w:vMerge w:val="restart"/>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4719" w:type="dxa"/>
            <w:gridSpan w:val="3"/>
            <w:vMerge w:val="continue"/>
            <w:tcBorders>
              <w:top w:val="single" w:color="auto" w:sz="8" w:space="0"/>
              <w:left w:val="single" w:color="auto" w:sz="8" w:space="0"/>
              <w:bottom w:val="inset"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854" w:type="dxa"/>
            <w:vMerge w:val="continue"/>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643" w:type="dxa"/>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企业</w:t>
            </w:r>
          </w:p>
        </w:tc>
        <w:tc>
          <w:tcPr>
            <w:tcW w:w="714" w:type="dxa"/>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机构</w:t>
            </w:r>
          </w:p>
        </w:tc>
        <w:tc>
          <w:tcPr>
            <w:tcW w:w="658" w:type="dxa"/>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社会公益组织</w:t>
            </w:r>
          </w:p>
        </w:tc>
        <w:tc>
          <w:tcPr>
            <w:tcW w:w="616" w:type="dxa"/>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法律服务机构</w:t>
            </w:r>
          </w:p>
        </w:tc>
        <w:tc>
          <w:tcPr>
            <w:tcW w:w="420" w:type="dxa"/>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其他</w:t>
            </w:r>
          </w:p>
        </w:tc>
        <w:tc>
          <w:tcPr>
            <w:tcW w:w="44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4719" w:type="dxa"/>
            <w:gridSpan w:val="3"/>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一、本年新收政府信息公开申请数量</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4719" w:type="dxa"/>
            <w:gridSpan w:val="3"/>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二、上年结转政府信息公开申请数量</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869" w:type="dxa"/>
            <w:vMerge w:val="restart"/>
            <w:tcBorders>
              <w:top w:val="single" w:color="auto" w:sz="8" w:space="0"/>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bdr w:val="none" w:color="auto" w:sz="0" w:space="0"/>
                <w:lang w:val="en-US" w:eastAsia="zh-CN" w:bidi="ar"/>
              </w:rPr>
              <w:t>三、本年度办理结果</w:t>
            </w:r>
          </w:p>
        </w:tc>
        <w:tc>
          <w:tcPr>
            <w:tcW w:w="3850" w:type="dxa"/>
            <w:gridSpan w:val="2"/>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（一）予以公开</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869" w:type="dxa"/>
            <w:vMerge w:val="continue"/>
            <w:tcBorders>
              <w:top w:val="single" w:color="auto" w:sz="8" w:space="0"/>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3850" w:type="dxa"/>
            <w:gridSpan w:val="2"/>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（二）部分公开</w:t>
            </w:r>
            <w:r>
              <w:rPr>
                <w:rFonts w:hint="eastAsia" w:ascii="仿宋" w:hAnsi="仿宋" w:eastAsia="仿宋" w:cs="仿宋"/>
                <w:color w:val="000000"/>
                <w:kern w:val="0"/>
                <w:sz w:val="21"/>
                <w:szCs w:val="21"/>
                <w:bdr w:val="none" w:color="auto" w:sz="0" w:space="0"/>
                <w:lang w:val="en-US" w:eastAsia="zh-CN" w:bidi="ar"/>
              </w:rPr>
              <w:t>（区分处理的，只计这一情形，不计其他情形）</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869" w:type="dxa"/>
            <w:vMerge w:val="restart"/>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书宋_GBK" w:hAnsi="方正书宋_GBK" w:eastAsia="方正书宋_GBK" w:cs="方正书宋_GBK"/>
                <w:color w:val="000000"/>
                <w:kern w:val="0"/>
                <w:sz w:val="21"/>
                <w:szCs w:val="21"/>
                <w:bdr w:val="none" w:color="auto" w:sz="0" w:space="0"/>
                <w:lang w:val="en-US" w:eastAsia="zh-CN" w:bidi="ar"/>
              </w:rPr>
              <w:t>三、本年度办理结果</w:t>
            </w:r>
          </w:p>
        </w:tc>
        <w:tc>
          <w:tcPr>
            <w:tcW w:w="1106" w:type="dxa"/>
            <w:vMerge w:val="restart"/>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（三）不予公开</w:t>
            </w: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1.</w:t>
            </w:r>
            <w:r>
              <w:rPr>
                <w:rFonts w:hint="default" w:ascii="方正书宋_GBK" w:hAnsi="方正书宋_GBK" w:eastAsia="方正书宋_GBK" w:cs="方正书宋_GBK"/>
                <w:color w:val="000000"/>
                <w:kern w:val="0"/>
                <w:sz w:val="21"/>
                <w:szCs w:val="21"/>
                <w:bdr w:val="none" w:color="auto" w:sz="0" w:space="0"/>
                <w:lang w:val="en-US" w:eastAsia="zh-CN" w:bidi="ar"/>
              </w:rPr>
              <w:t>属于国家秘密</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2.</w:t>
            </w:r>
            <w:r>
              <w:rPr>
                <w:rFonts w:hint="default" w:ascii="方正书宋_GBK" w:hAnsi="方正书宋_GBK" w:eastAsia="方正书宋_GBK" w:cs="方正书宋_GBK"/>
                <w:color w:val="000000"/>
                <w:kern w:val="0"/>
                <w:sz w:val="21"/>
                <w:szCs w:val="21"/>
                <w:bdr w:val="none" w:color="auto" w:sz="0" w:space="0"/>
                <w:lang w:val="en-US" w:eastAsia="zh-CN" w:bidi="ar"/>
              </w:rPr>
              <w:t>其他法律行政法规禁止公开</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3.</w:t>
            </w:r>
            <w:r>
              <w:rPr>
                <w:rFonts w:hint="default" w:ascii="方正书宋_GBK" w:hAnsi="方正书宋_GBK" w:eastAsia="方正书宋_GBK" w:cs="方正书宋_GBK"/>
                <w:color w:val="000000"/>
                <w:kern w:val="0"/>
                <w:sz w:val="21"/>
                <w:szCs w:val="21"/>
                <w:bdr w:val="none" w:color="auto" w:sz="0" w:space="0"/>
                <w:lang w:val="en-US" w:eastAsia="zh-CN" w:bidi="ar"/>
              </w:rPr>
              <w:t>危及</w:t>
            </w:r>
            <w:r>
              <w:rPr>
                <w:rFonts w:hint="default" w:ascii="Times New Roman" w:hAnsi="Times New Roman" w:cs="Times New Roman" w:eastAsiaTheme="minorEastAsia"/>
                <w:color w:val="000000"/>
                <w:kern w:val="0"/>
                <w:sz w:val="21"/>
                <w:szCs w:val="21"/>
                <w:bdr w:val="none" w:color="auto" w:sz="0" w:space="0"/>
                <w:lang w:val="en-US" w:eastAsia="zh-CN" w:bidi="ar"/>
              </w:rPr>
              <w:t>“</w:t>
            </w:r>
            <w:r>
              <w:rPr>
                <w:rFonts w:hint="default" w:ascii="方正书宋_GBK" w:hAnsi="方正书宋_GBK" w:eastAsia="方正书宋_GBK" w:cs="方正书宋_GBK"/>
                <w:color w:val="000000"/>
                <w:kern w:val="0"/>
                <w:sz w:val="21"/>
                <w:szCs w:val="21"/>
                <w:bdr w:val="none" w:color="auto" w:sz="0" w:space="0"/>
                <w:lang w:val="en-US" w:eastAsia="zh-CN" w:bidi="ar"/>
              </w:rPr>
              <w:t>三安全一稳定</w:t>
            </w:r>
            <w:r>
              <w:rPr>
                <w:rFonts w:hint="default" w:ascii="Times New Roman" w:hAnsi="Times New Roman" w:cs="Times New Roman" w:eastAsiaTheme="minorEastAsia"/>
                <w:color w:val="000000"/>
                <w:kern w:val="0"/>
                <w:sz w:val="21"/>
                <w:szCs w:val="21"/>
                <w:bdr w:val="none" w:color="auto" w:sz="0" w:space="0"/>
                <w:lang w:val="en-US" w:eastAsia="zh-CN" w:bidi="ar"/>
              </w:rPr>
              <w:t>”</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4.</w:t>
            </w:r>
            <w:r>
              <w:rPr>
                <w:rFonts w:hint="default" w:ascii="方正书宋_GBK" w:hAnsi="方正书宋_GBK" w:eastAsia="方正书宋_GBK" w:cs="方正书宋_GBK"/>
                <w:color w:val="000000"/>
                <w:kern w:val="0"/>
                <w:sz w:val="21"/>
                <w:szCs w:val="21"/>
                <w:bdr w:val="none" w:color="auto" w:sz="0" w:space="0"/>
                <w:lang w:val="en-US" w:eastAsia="zh-CN" w:bidi="ar"/>
              </w:rPr>
              <w:t>保护第三方合法权益</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5.</w:t>
            </w:r>
            <w:r>
              <w:rPr>
                <w:rFonts w:hint="default" w:ascii="方正书宋_GBK" w:hAnsi="方正书宋_GBK" w:eastAsia="方正书宋_GBK" w:cs="方正书宋_GBK"/>
                <w:color w:val="000000"/>
                <w:kern w:val="0"/>
                <w:sz w:val="21"/>
                <w:szCs w:val="21"/>
                <w:bdr w:val="none" w:color="auto" w:sz="0" w:space="0"/>
                <w:lang w:val="en-US" w:eastAsia="zh-CN" w:bidi="ar"/>
              </w:rPr>
              <w:t>属于三类内部事务信息</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6.</w:t>
            </w:r>
            <w:r>
              <w:rPr>
                <w:rFonts w:hint="default" w:ascii="方正书宋_GBK" w:hAnsi="方正书宋_GBK" w:eastAsia="方正书宋_GBK" w:cs="方正书宋_GBK"/>
                <w:color w:val="000000"/>
                <w:kern w:val="0"/>
                <w:sz w:val="21"/>
                <w:szCs w:val="21"/>
                <w:bdr w:val="none" w:color="auto" w:sz="0" w:space="0"/>
                <w:lang w:val="en-US" w:eastAsia="zh-CN" w:bidi="ar"/>
              </w:rPr>
              <w:t>属于四类过程性信息</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7.</w:t>
            </w:r>
            <w:r>
              <w:rPr>
                <w:rFonts w:hint="default" w:ascii="方正书宋_GBK" w:hAnsi="方正书宋_GBK" w:eastAsia="方正书宋_GBK" w:cs="方正书宋_GBK"/>
                <w:color w:val="000000"/>
                <w:kern w:val="0"/>
                <w:sz w:val="21"/>
                <w:szCs w:val="21"/>
                <w:bdr w:val="none" w:color="auto" w:sz="0" w:space="0"/>
                <w:lang w:val="en-US" w:eastAsia="zh-CN" w:bidi="ar"/>
              </w:rPr>
              <w:t>属于行政执法案卷</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8.</w:t>
            </w:r>
            <w:r>
              <w:rPr>
                <w:rFonts w:hint="default" w:ascii="方正书宋_GBK" w:hAnsi="方正书宋_GBK" w:eastAsia="方正书宋_GBK" w:cs="方正书宋_GBK"/>
                <w:color w:val="000000"/>
                <w:kern w:val="0"/>
                <w:sz w:val="21"/>
                <w:szCs w:val="21"/>
                <w:bdr w:val="none" w:color="auto" w:sz="0" w:space="0"/>
                <w:lang w:val="en-US" w:eastAsia="zh-CN" w:bidi="ar"/>
              </w:rPr>
              <w:t>属于行政查询事项</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restart"/>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（四）无法提供</w:t>
            </w: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1.</w:t>
            </w:r>
            <w:r>
              <w:rPr>
                <w:rFonts w:hint="default" w:ascii="方正书宋_GBK" w:hAnsi="方正书宋_GBK" w:eastAsia="方正书宋_GBK" w:cs="方正书宋_GBK"/>
                <w:color w:val="000000"/>
                <w:kern w:val="0"/>
                <w:sz w:val="21"/>
                <w:szCs w:val="21"/>
                <w:bdr w:val="none" w:color="auto" w:sz="0" w:space="0"/>
                <w:lang w:val="en-US" w:eastAsia="zh-CN" w:bidi="ar"/>
              </w:rPr>
              <w:t>本机关不掌握相关政府信息</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2.</w:t>
            </w:r>
            <w:r>
              <w:rPr>
                <w:rFonts w:hint="default" w:ascii="方正书宋_GBK" w:hAnsi="方正书宋_GBK" w:eastAsia="方正书宋_GBK" w:cs="方正书宋_GBK"/>
                <w:color w:val="000000"/>
                <w:kern w:val="0"/>
                <w:sz w:val="21"/>
                <w:szCs w:val="21"/>
                <w:bdr w:val="none" w:color="auto" w:sz="0" w:space="0"/>
                <w:lang w:val="en-US" w:eastAsia="zh-CN" w:bidi="ar"/>
              </w:rPr>
              <w:t>没有现成信息需要另行制作</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3.</w:t>
            </w:r>
            <w:r>
              <w:rPr>
                <w:rFonts w:hint="default" w:ascii="方正书宋_GBK" w:hAnsi="方正书宋_GBK" w:eastAsia="方正书宋_GBK" w:cs="方正书宋_GBK"/>
                <w:color w:val="000000"/>
                <w:kern w:val="0"/>
                <w:sz w:val="21"/>
                <w:szCs w:val="21"/>
                <w:bdr w:val="none" w:color="auto" w:sz="0" w:space="0"/>
                <w:lang w:val="en-US" w:eastAsia="zh-CN" w:bidi="ar"/>
              </w:rPr>
              <w:t>补正后申请内容仍不明确</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restart"/>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（五）不予处理</w:t>
            </w: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1.</w:t>
            </w:r>
            <w:r>
              <w:rPr>
                <w:rFonts w:hint="default" w:ascii="方正书宋_GBK" w:hAnsi="方正书宋_GBK" w:eastAsia="方正书宋_GBK" w:cs="方正书宋_GBK"/>
                <w:color w:val="000000"/>
                <w:kern w:val="0"/>
                <w:sz w:val="21"/>
                <w:szCs w:val="21"/>
                <w:bdr w:val="none" w:color="auto" w:sz="0" w:space="0"/>
                <w:lang w:val="en-US" w:eastAsia="zh-CN" w:bidi="ar"/>
              </w:rPr>
              <w:t>信访举报投诉类申请</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2.</w:t>
            </w:r>
            <w:r>
              <w:rPr>
                <w:rFonts w:hint="default" w:ascii="方正书宋_GBK" w:hAnsi="方正书宋_GBK" w:eastAsia="方正书宋_GBK" w:cs="方正书宋_GBK"/>
                <w:color w:val="000000"/>
                <w:kern w:val="0"/>
                <w:sz w:val="21"/>
                <w:szCs w:val="21"/>
                <w:bdr w:val="none" w:color="auto" w:sz="0" w:space="0"/>
                <w:lang w:val="en-US" w:eastAsia="zh-CN" w:bidi="ar"/>
              </w:rPr>
              <w:t>重复申请</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3.</w:t>
            </w:r>
            <w:r>
              <w:rPr>
                <w:rFonts w:hint="default" w:ascii="方正书宋_GBK" w:hAnsi="方正书宋_GBK" w:eastAsia="方正书宋_GBK" w:cs="方正书宋_GBK"/>
                <w:color w:val="000000"/>
                <w:kern w:val="0"/>
                <w:sz w:val="21"/>
                <w:szCs w:val="21"/>
                <w:bdr w:val="none" w:color="auto" w:sz="0" w:space="0"/>
                <w:lang w:val="en-US" w:eastAsia="zh-CN" w:bidi="ar"/>
              </w:rPr>
              <w:t>要求提供公开出版物</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4.</w:t>
            </w:r>
            <w:r>
              <w:rPr>
                <w:rFonts w:hint="default" w:ascii="方正书宋_GBK" w:hAnsi="方正书宋_GBK" w:eastAsia="方正书宋_GBK" w:cs="方正书宋_GBK"/>
                <w:color w:val="000000"/>
                <w:kern w:val="0"/>
                <w:sz w:val="21"/>
                <w:szCs w:val="21"/>
                <w:bdr w:val="none" w:color="auto" w:sz="0" w:space="0"/>
                <w:lang w:val="en-US" w:eastAsia="zh-CN" w:bidi="ar"/>
              </w:rPr>
              <w:t>无正当理由大量反复申请</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2744" w:type="dxa"/>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5.</w:t>
            </w:r>
            <w:r>
              <w:rPr>
                <w:rFonts w:hint="default" w:ascii="方正书宋_GBK" w:hAnsi="方正书宋_GBK" w:eastAsia="方正书宋_GBK" w:cs="方正书宋_GBK"/>
                <w:color w:val="000000"/>
                <w:kern w:val="0"/>
                <w:sz w:val="21"/>
                <w:szCs w:val="21"/>
                <w:bdr w:val="none" w:color="auto" w:sz="0" w:space="0"/>
                <w:lang w:val="en-US" w:eastAsia="zh-CN" w:bidi="ar"/>
              </w:rPr>
              <w:t>要求行政机关确认或重新出具已获取信息</w:t>
            </w:r>
          </w:p>
        </w:tc>
        <w:tc>
          <w:tcPr>
            <w:tcW w:w="854" w:type="dxa"/>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restart"/>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（六）其他处理</w:t>
            </w: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1.</w:t>
            </w:r>
            <w:r>
              <w:rPr>
                <w:rFonts w:hint="default" w:ascii="方正书宋_GBK" w:hAnsi="方正书宋_GBK" w:eastAsia="方正书宋_GBK" w:cs="方正书宋_GBK"/>
                <w:color w:val="000000"/>
                <w:kern w:val="0"/>
                <w:sz w:val="21"/>
                <w:szCs w:val="21"/>
                <w:bdr w:val="none" w:color="auto" w:sz="0" w:space="0"/>
                <w:lang w:val="en-US" w:eastAsia="zh-CN" w:bidi="ar"/>
              </w:rPr>
              <w:t>申请人无正当理由逾期不补正、行政机关不再处理其政府信息公开申请</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2.</w:t>
            </w:r>
            <w:r>
              <w:rPr>
                <w:rFonts w:hint="default" w:ascii="方正书宋_GBK" w:hAnsi="方正书宋_GBK" w:eastAsia="方正书宋_GBK" w:cs="方正书宋_GBK"/>
                <w:color w:val="000000"/>
                <w:kern w:val="0"/>
                <w:sz w:val="21"/>
                <w:szCs w:val="21"/>
                <w:bdr w:val="none" w:color="auto" w:sz="0" w:space="0"/>
                <w:lang w:val="en-US" w:eastAsia="zh-CN" w:bidi="ar"/>
              </w:rPr>
              <w:t>申请人逾期未按收费通知要求缴纳费用、行政机关不再处理其政府信息公开申请</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1106"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274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3.</w:t>
            </w:r>
            <w:r>
              <w:rPr>
                <w:rFonts w:hint="default" w:ascii="方正书宋_GBK" w:hAnsi="方正书宋_GBK" w:eastAsia="方正书宋_GBK" w:cs="方正书宋_GBK"/>
                <w:color w:val="000000"/>
                <w:kern w:val="0"/>
                <w:sz w:val="21"/>
                <w:szCs w:val="21"/>
                <w:bdr w:val="none" w:color="auto" w:sz="0" w:space="0"/>
                <w:lang w:val="en-US" w:eastAsia="zh-CN" w:bidi="ar"/>
              </w:rPr>
              <w:t>其他</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869" w:type="dxa"/>
            <w:vMerge w:val="continue"/>
            <w:tcBorders>
              <w:top w:val="nil"/>
              <w:left w:val="single" w:color="auto" w:sz="8" w:space="0"/>
              <w:bottom w:val="nil"/>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3850" w:type="dxa"/>
            <w:gridSpan w:val="2"/>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（七）总计</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4719" w:type="dxa"/>
            <w:gridSpan w:val="3"/>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方正书宋_GBK" w:hAnsi="方正书宋_GBK" w:eastAsia="方正书宋_GBK" w:cs="方正书宋_GBK"/>
                <w:color w:val="000000"/>
                <w:kern w:val="0"/>
                <w:sz w:val="21"/>
                <w:szCs w:val="21"/>
                <w:bdr w:val="none" w:color="auto" w:sz="0" w:space="0"/>
                <w:lang w:val="en-US" w:eastAsia="zh-CN" w:bidi="ar"/>
              </w:rPr>
              <w:t>四、结转下年度继续办理</w:t>
            </w:r>
          </w:p>
        </w:tc>
        <w:tc>
          <w:tcPr>
            <w:tcW w:w="85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43"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714"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16"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44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560"/>
        <w:jc w:val="left"/>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28"/>
          <w:szCs w:val="28"/>
          <w:bdr w:val="none" w:color="auto" w:sz="0" w:space="0"/>
          <w:shd w:val="clear" w:fill="FFFFFF"/>
          <w:lang w:val="en-US" w:eastAsia="zh-CN" w:bidi="ar"/>
        </w:rPr>
        <w:t>四、政府信息公开行政复议、行政诉讼情况</w:t>
      </w:r>
    </w:p>
    <w:tbl>
      <w:tblPr>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05"/>
        <w:gridCol w:w="605"/>
        <w:gridCol w:w="605"/>
        <w:gridCol w:w="605"/>
        <w:gridCol w:w="604"/>
        <w:gridCol w:w="604"/>
        <w:gridCol w:w="604"/>
        <w:gridCol w:w="605"/>
        <w:gridCol w:w="605"/>
        <w:gridCol w:w="605"/>
        <w:gridCol w:w="605"/>
        <w:gridCol w:w="605"/>
        <w:gridCol w:w="605"/>
        <w:gridCol w:w="605"/>
        <w:gridCol w:w="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7" w:hRule="atLeast"/>
          <w:jc w:val="center"/>
        </w:trPr>
        <w:tc>
          <w:tcPr>
            <w:tcW w:w="3024" w:type="dxa"/>
            <w:gridSpan w:val="5"/>
            <w:tcBorders>
              <w:top w:val="single" w:color="auto" w:sz="8" w:space="0"/>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行政复议</w:t>
            </w:r>
          </w:p>
        </w:tc>
        <w:tc>
          <w:tcPr>
            <w:tcW w:w="6048" w:type="dxa"/>
            <w:gridSpan w:val="10"/>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05" w:type="dxa"/>
            <w:vMerge w:val="restart"/>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结果维持</w:t>
            </w:r>
          </w:p>
        </w:tc>
        <w:tc>
          <w:tcPr>
            <w:tcW w:w="605" w:type="dxa"/>
            <w:vMerge w:val="restart"/>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纠正</w:t>
            </w:r>
          </w:p>
        </w:tc>
        <w:tc>
          <w:tcPr>
            <w:tcW w:w="605" w:type="dxa"/>
            <w:vMerge w:val="restart"/>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结果</w:t>
            </w:r>
          </w:p>
        </w:tc>
        <w:tc>
          <w:tcPr>
            <w:tcW w:w="605" w:type="dxa"/>
            <w:vMerge w:val="restart"/>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审结</w:t>
            </w:r>
          </w:p>
        </w:tc>
        <w:tc>
          <w:tcPr>
            <w:tcW w:w="604" w:type="dxa"/>
            <w:vMerge w:val="restart"/>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总计</w:t>
            </w:r>
          </w:p>
        </w:tc>
        <w:tc>
          <w:tcPr>
            <w:tcW w:w="3023" w:type="dxa"/>
            <w:gridSpan w:val="5"/>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未经复议直接起诉</w:t>
            </w:r>
          </w:p>
        </w:tc>
        <w:tc>
          <w:tcPr>
            <w:tcW w:w="3025" w:type="dxa"/>
            <w:gridSpan w:val="5"/>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05" w:type="dxa"/>
            <w:vMerge w:val="continue"/>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605" w:type="dxa"/>
            <w:vMerge w:val="continue"/>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605" w:type="dxa"/>
            <w:vMerge w:val="continue"/>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605" w:type="dxa"/>
            <w:vMerge w:val="continue"/>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rPr>
                <w:rFonts w:hint="eastAsia" w:ascii="宋体"/>
                <w:sz w:val="24"/>
                <w:szCs w:val="24"/>
              </w:rPr>
            </w:pPr>
          </w:p>
        </w:tc>
        <w:tc>
          <w:tcPr>
            <w:tcW w:w="604" w:type="dxa"/>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维持</w:t>
            </w:r>
          </w:p>
        </w:tc>
        <w:tc>
          <w:tcPr>
            <w:tcW w:w="604" w:type="dxa"/>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纠正</w:t>
            </w:r>
          </w:p>
        </w:tc>
        <w:tc>
          <w:tcPr>
            <w:tcW w:w="605" w:type="dxa"/>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结果</w:t>
            </w:r>
          </w:p>
        </w:tc>
        <w:tc>
          <w:tcPr>
            <w:tcW w:w="605" w:type="dxa"/>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审结</w:t>
            </w:r>
          </w:p>
        </w:tc>
        <w:tc>
          <w:tcPr>
            <w:tcW w:w="605" w:type="dxa"/>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总计</w:t>
            </w:r>
          </w:p>
        </w:tc>
        <w:tc>
          <w:tcPr>
            <w:tcW w:w="605" w:type="dxa"/>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维持</w:t>
            </w:r>
          </w:p>
        </w:tc>
        <w:tc>
          <w:tcPr>
            <w:tcW w:w="605" w:type="dxa"/>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纠正</w:t>
            </w:r>
          </w:p>
        </w:tc>
        <w:tc>
          <w:tcPr>
            <w:tcW w:w="605" w:type="dxa"/>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结果</w:t>
            </w:r>
          </w:p>
        </w:tc>
        <w:tc>
          <w:tcPr>
            <w:tcW w:w="605" w:type="dxa"/>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审结</w:t>
            </w:r>
          </w:p>
        </w:tc>
        <w:tc>
          <w:tcPr>
            <w:tcW w:w="605" w:type="dxa"/>
            <w:tcBorders>
              <w:top w:val="single" w:color="auto" w:sz="8" w:space="0"/>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方正黑体_GBK" w:hAnsi="方正黑体_GBK" w:eastAsia="方正黑体_GBK" w:cs="方正黑体_GBK"/>
                <w:color w:val="000000"/>
                <w:kern w:val="0"/>
                <w:sz w:val="21"/>
                <w:szCs w:val="21"/>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605"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04" w:type="dxa"/>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04" w:type="dxa"/>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04" w:type="dxa"/>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color w:val="000000"/>
                <w:kern w:val="0"/>
                <w:sz w:val="21"/>
                <w:szCs w:val="21"/>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28" w:type="dxa"/>
              <w:left w:w="28" w:type="dxa"/>
              <w:bottom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default" w:ascii="Times New Roman" w:hAnsi="Times New Roman" w:cs="Times New Roman" w:eastAsiaTheme="minorEastAsia"/>
                <w:color w:val="000000"/>
                <w:kern w:val="0"/>
                <w:sz w:val="21"/>
                <w:szCs w:val="21"/>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28"/>
          <w:szCs w:val="28"/>
          <w:bdr w:val="none" w:color="auto" w:sz="0" w:space="0"/>
          <w:shd w:val="clear" w:fill="FFFFFF"/>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80"/>
        <w:jc w:val="left"/>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28"/>
          <w:szCs w:val="28"/>
          <w:bdr w:val="none" w:color="auto" w:sz="0" w:space="0"/>
          <w:shd w:val="clear" w:fill="FFFFFF"/>
          <w:lang w:val="en-US" w:eastAsia="zh-CN" w:bidi="ar"/>
        </w:rPr>
        <w:t>（一）加强信息发布的及时性、准确性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前进区营商环境建设监督局完善相关制度，对于本部门的信息，在发布之前都由局领导以及信息发布人员反复审核，避免纰漏，并保证信息更新的时效性，满足群众的关切。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50" w:right="0" w:firstLine="560"/>
        <w:jc w:val="left"/>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28"/>
          <w:szCs w:val="28"/>
          <w:bdr w:val="none" w:color="auto" w:sz="0" w:space="0"/>
          <w:shd w:val="clear" w:fill="FFFFFF"/>
          <w:lang w:val="en-US" w:eastAsia="zh-CN" w:bidi="ar"/>
        </w:rPr>
        <w:t>（二）打造高效团结、专业化的技术团队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为保证前进区优化营商环境干在实处、走在前列，区营商环境建设监督局按照相关要求，依托大数据专业人才</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打造覆盖率广、安全性高的电子政务外网体系，充分将政务服务下沉到</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个街道及各社区</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村</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，促进政务服务能力再提升。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50" w:right="0" w:firstLine="560"/>
        <w:jc w:val="both"/>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28"/>
          <w:szCs w:val="28"/>
          <w:bdr w:val="none" w:color="auto" w:sz="0" w:space="0"/>
          <w:shd w:val="clear" w:fill="FFFFFF"/>
          <w:lang w:val="en-US" w:eastAsia="zh-CN" w:bidi="ar"/>
        </w:rPr>
        <w:t>（三）学习政府信息公开的重点环节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为加强政治素养、提升业务能力。前进区营商环境建设监督局全体工作人员坚持每日进行党史学习和业务学习，并于每周五进行考试测评。其间，重点对政府信息公开的相关知识进行深入学习，确保做到入脑入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30" w:right="0" w:firstLine="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kern w:val="0"/>
          <w:sz w:val="28"/>
          <w:szCs w:val="28"/>
          <w:bdr w:val="none" w:color="auto" w:sz="0" w:space="0"/>
          <w:shd w:val="clear"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kern w:val="0"/>
          <w:sz w:val="28"/>
          <w:szCs w:val="28"/>
          <w:bdr w:val="none" w:color="auto" w:sz="0" w:space="0"/>
          <w:shd w:val="clear" w:fill="FFFFFF"/>
          <w:lang w:val="en-US" w:eastAsia="zh-CN" w:bidi="ar"/>
        </w:rPr>
        <w:t>        </w:t>
      </w:r>
      <w:r>
        <w:rPr>
          <w:rFonts w:hint="default" w:ascii="方正黑体_GBK" w:hAnsi="方正黑体_GBK" w:eastAsia="方正黑体_GBK" w:cs="方正黑体_GBK"/>
          <w:i w:val="0"/>
          <w:iCs w:val="0"/>
          <w:caps w:val="0"/>
          <w:color w:val="000000"/>
          <w:spacing w:val="0"/>
          <w:kern w:val="0"/>
          <w:sz w:val="28"/>
          <w:szCs w:val="28"/>
          <w:bdr w:val="none" w:color="auto" w:sz="0" w:space="0"/>
          <w:shd w:val="clear" w:fill="FFFFFF"/>
          <w:lang w:val="en-US" w:eastAsia="zh-CN" w:bidi="ar"/>
        </w:rPr>
        <w:t>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38406F-7561-42F7-9343-5B906054441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6780E3AF-CE4E-473E-A6A6-DFA65295BDD2}"/>
  </w:font>
  <w:font w:name="方正小标宋_GBK">
    <w:panose1 w:val="02000000000000000000"/>
    <w:charset w:val="86"/>
    <w:family w:val="auto"/>
    <w:pitch w:val="default"/>
    <w:sig w:usb0="A00002BF" w:usb1="38CF7CFA" w:usb2="00082016" w:usb3="00000000" w:csb0="00040001" w:csb1="00000000"/>
    <w:embedRegular r:id="rId3" w:fontKey="{29BE077C-9AFF-48E9-9249-1BC3DB770279}"/>
  </w:font>
  <w:font w:name="仿宋_GB2312">
    <w:altName w:val="仿宋"/>
    <w:panose1 w:val="00000000000000000000"/>
    <w:charset w:val="00"/>
    <w:family w:val="auto"/>
    <w:pitch w:val="default"/>
    <w:sig w:usb0="00000000" w:usb1="00000000" w:usb2="00000000" w:usb3="00000000" w:csb0="00000000" w:csb1="00000000"/>
    <w:embedRegular r:id="rId4" w:fontKey="{7205CE50-DEC7-4D2C-8113-3F3C8C14E66D}"/>
  </w:font>
  <w:font w:name="仿宋">
    <w:panose1 w:val="02010609060101010101"/>
    <w:charset w:val="86"/>
    <w:family w:val="auto"/>
    <w:pitch w:val="default"/>
    <w:sig w:usb0="800002BF" w:usb1="38CF7CFA" w:usb2="00000016" w:usb3="00000000" w:csb0="00040001" w:csb1="00000000"/>
    <w:embedRegular r:id="rId5" w:fontKey="{56A4511E-B8C9-473F-B7D6-14537C1F1404}"/>
  </w:font>
  <w:font w:name="方正黑体_GBK">
    <w:altName w:val="微软雅黑"/>
    <w:panose1 w:val="00000000000000000000"/>
    <w:charset w:val="00"/>
    <w:family w:val="auto"/>
    <w:pitch w:val="default"/>
    <w:sig w:usb0="00000000" w:usb1="00000000" w:usb2="00000000" w:usb3="00000000" w:csb0="00000000" w:csb1="00000000"/>
    <w:embedRegular r:id="rId6" w:fontKey="{2153E47D-80AB-47EB-A8ED-CDDAB1E4C2D7}"/>
  </w:font>
  <w:font w:name="方正书宋_GBK">
    <w:altName w:val="微软雅黑"/>
    <w:panose1 w:val="00000000000000000000"/>
    <w:charset w:val="00"/>
    <w:family w:val="auto"/>
    <w:pitch w:val="default"/>
    <w:sig w:usb0="00000000" w:usb1="00000000" w:usb2="00000000" w:usb3="00000000" w:csb0="00000000" w:csb1="00000000"/>
    <w:embedRegular r:id="rId7" w:fontKey="{323D49A2-FC4B-4A67-A055-B15770DBDDB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MTU4MDUxNzhhYjY0Nzg1YjY0Y2NjN2NlYjQwZTcifQ=="/>
  </w:docVars>
  <w:rsids>
    <w:rsidRoot w:val="00000000"/>
    <w:rsid w:val="172D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2022-12-16T06:39:17Z</dcterms:created>
  <dc:creator>Administrator</dc:creator>
  <cp:lastModifiedBy>㍿  苏屿ᴳᴳ</cp:lastModifiedBy>
  <dcterms:modified xsi:type="dcterms:W3CDTF">2022-12-16T06:39:22Z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9B517636577D4BD09C36EB118FF7D9D5</vt:lpwstr>
  </property>
</Properties>
</file>