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bCs/>
          <w:i w:val="0"/>
          <w:iCs w:val="0"/>
          <w:caps w:val="0"/>
          <w:color w:val="5B9BD5" w:themeColor="accent1"/>
          <w:spacing w:val="0"/>
          <w:kern w:val="0"/>
          <w:sz w:val="52"/>
          <w:szCs w:val="52"/>
          <w:shd w:val="clear" w:fill="FFFFFF"/>
          <w:lang w:val="en-US" w:eastAsia="zh-CN" w:bidi="ar"/>
          <w14:textFill>
            <w14:solidFill>
              <w14:schemeClr w14:val="accent1"/>
            </w14:solidFill>
          </w14:textFill>
        </w:rPr>
      </w:pPr>
      <w:r>
        <w:rPr>
          <w:rFonts w:hint="eastAsia" w:ascii="方正小标宋简体" w:hAnsi="方正小标宋简体" w:eastAsia="方正小标宋简体" w:cs="方正小标宋简体"/>
          <w:b/>
          <w:bCs/>
          <w:i w:val="0"/>
          <w:iCs w:val="0"/>
          <w:caps w:val="0"/>
          <w:color w:val="5B9BD5" w:themeColor="accent1"/>
          <w:spacing w:val="0"/>
          <w:kern w:val="0"/>
          <w:sz w:val="52"/>
          <w:szCs w:val="52"/>
          <w:shd w:val="clear" w:fill="FFFFFF"/>
          <w:lang w:val="en-US" w:eastAsia="zh-CN" w:bidi="ar"/>
          <w14:textFill>
            <w14:solidFill>
              <w14:schemeClr w14:val="accent1"/>
            </w14:solidFill>
          </w14:textFill>
        </w:rPr>
        <w:t>前进生态环境局2022年政府</w:t>
      </w:r>
    </w:p>
    <w:p>
      <w:pPr>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bCs/>
          <w:i w:val="0"/>
          <w:iCs w:val="0"/>
          <w:caps w:val="0"/>
          <w:color w:val="5B9BD5" w:themeColor="accent1"/>
          <w:spacing w:val="0"/>
          <w:kern w:val="0"/>
          <w:sz w:val="52"/>
          <w:szCs w:val="52"/>
          <w:u w:val="none"/>
          <w:shd w:val="clear" w:fill="FFFFFF"/>
          <w:lang w:val="en-US" w:eastAsia="zh-CN" w:bidi="ar"/>
          <w14:textFill>
            <w14:solidFill>
              <w14:schemeClr w14:val="accent1"/>
            </w14:solidFill>
          </w14:textFill>
        </w:rPr>
      </w:pPr>
      <w:r>
        <w:rPr>
          <w:rFonts w:hint="eastAsia" w:ascii="方正小标宋简体" w:hAnsi="方正小标宋简体" w:eastAsia="方正小标宋简体" w:cs="方正小标宋简体"/>
          <w:b/>
          <w:bCs/>
          <w:i w:val="0"/>
          <w:iCs w:val="0"/>
          <w:caps w:val="0"/>
          <w:color w:val="5B9BD5" w:themeColor="accent1"/>
          <w:spacing w:val="0"/>
          <w:kern w:val="0"/>
          <w:sz w:val="52"/>
          <w:szCs w:val="52"/>
          <w:u w:val="none"/>
          <w:shd w:val="clear" w:fill="FFFFFF"/>
          <w:lang w:val="en-US" w:eastAsia="zh-CN" w:bidi="ar"/>
          <w14:textFill>
            <w14:solidFill>
              <w14:schemeClr w14:val="accent1"/>
            </w14:solidFill>
          </w14:textFill>
        </w:rPr>
        <w:t>信息公开工作年度报告</w:t>
      </w:r>
    </w:p>
    <w:p>
      <w:pPr>
        <w:keepNext w:val="0"/>
        <w:keepLines w:val="0"/>
        <w:widowControl/>
        <w:suppressLineNumbers w:val="0"/>
        <w:shd w:val="clear" w:fill="FFFFFF"/>
        <w:ind w:left="0" w:firstLine="0"/>
        <w:jc w:val="both"/>
        <w:rPr>
          <w:rFonts w:hint="eastAsia" w:ascii="微软雅黑" w:hAnsi="微软雅黑" w:eastAsia="微软雅黑" w:cs="微软雅黑"/>
          <w:b/>
          <w:bCs/>
          <w:i/>
          <w:iCs/>
          <w:caps w:val="0"/>
          <w:color w:val="C00000"/>
          <w:spacing w:val="0"/>
          <w:kern w:val="0"/>
          <w:sz w:val="52"/>
          <w:szCs w:val="52"/>
          <w:u w:val="none"/>
          <w:shd w:val="clear" w:fill="FFFFFF"/>
          <w:lang w:val="en-US" w:eastAsia="zh-CN" w:bidi="ar"/>
        </w:rPr>
      </w:pPr>
      <w:r>
        <w:rPr>
          <w:rFonts w:hint="eastAsia" w:ascii="微软雅黑" w:hAnsi="微软雅黑" w:eastAsia="微软雅黑" w:cs="微软雅黑"/>
          <w:b/>
          <w:bCs/>
          <w:i/>
          <w:iCs/>
          <w:caps w:val="0"/>
          <w:color w:val="C00000"/>
          <w:spacing w:val="0"/>
          <w:kern w:val="0"/>
          <w:sz w:val="52"/>
          <w:szCs w:val="52"/>
          <w:u w:val="none"/>
          <w:shd w:val="clear" w:fill="FFFFFF"/>
          <w:lang w:val="en-US" w:eastAsia="zh-CN" w:bidi="ar"/>
        </w:rPr>
        <w:t xml:space="preserve">   </w:t>
      </w:r>
    </w:p>
    <w:p>
      <w:pPr>
        <w:keepNext w:val="0"/>
        <w:keepLines w:val="0"/>
        <w:widowControl/>
        <w:suppressLineNumbers w:val="0"/>
        <w:shd w:val="clear" w:fill="FFFFFF"/>
        <w:ind w:left="0" w:firstLine="720" w:firstLineChars="3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2022年，前进生态环境局在区委区政府的领导下，坚持以习近平新时代中国特色社会主义思想为指导，深入学习贯彻党的二十大精神和习近平法治思想，以《中华人民共和国政府信息公开条例》为指导，为切实保障人民群众对街道工作的知情权、参与权和监督权，按照前进区政府信息公开工作要求，前进生态环境局认真贯彻落实，大力推进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前进生态环境局主动公开的政府信息分别从主动公开、依申请公开、政府信息管理、平台建设、监督保障五方面严格落实信息公开工作。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（一）主动公开信息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前进生态环境局全年主动公开信息5条，其中规范性文件0件，微信公众平台推送信息数0条,其他媒体平台推送信息0条。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2022年</w:t>
      </w:r>
      <w:r>
        <w:rPr>
          <w:rFonts w:hint="eastAsia" w:ascii="微软雅黑" w:hAnsi="微软雅黑" w:eastAsia="微软雅黑" w:cs="微软雅黑"/>
          <w:i w:val="0"/>
          <w:iCs w:val="0"/>
          <w:caps w:val="0"/>
          <w:color w:val="333333"/>
          <w:spacing w:val="0"/>
          <w:sz w:val="24"/>
          <w:szCs w:val="24"/>
          <w:shd w:val="clear" w:fill="FFFFFF"/>
          <w:lang w:eastAsia="zh-CN"/>
        </w:rPr>
        <w:t>前进生态环境局</w:t>
      </w:r>
      <w:r>
        <w:rPr>
          <w:rFonts w:hint="eastAsia" w:ascii="微软雅黑" w:hAnsi="微软雅黑" w:eastAsia="微软雅黑" w:cs="微软雅黑"/>
          <w:i w:val="0"/>
          <w:iCs w:val="0"/>
          <w:caps w:val="0"/>
          <w:color w:val="333333"/>
          <w:spacing w:val="0"/>
          <w:sz w:val="24"/>
          <w:szCs w:val="24"/>
          <w:shd w:val="clear" w:fill="FFFFFF"/>
        </w:rPr>
        <w:t>未收到区政府信息公开申请。因政府信息公开申请引发行政复议0件，引发行政诉讼0件。全年依申请公开政府信息支出0元。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（三）政府信息管理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是前进生态环境局高度重视，成立政务公开工作领导小组，由局长担任组长，各业务岗位负责人为成员，领导小组下设办公室，指定专人负责，保障信息及时有效更新，对生态环境相关事宜进行严格把关。二是对发布信息做到严格把关审核，确保信息发布准确无误。三是认真贯彻落实《中华人民共和国政府信息公开条例》有关规定，完善公开制度、健全工作机制、深化公开内容、丰富公开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（四）平台建设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信息公开是通过区政府网站重大民生信息环保政策法规解读方式进行主动公开。凡是应主动公开的信息，均在网站上作长期主动的公开并在公开栏按要求公示，群众可随时登录网站了解相关信息，下载有关资料和表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规范信息审核工作，严格遵循“先审查、后公开”，做好政务信息保密工作，确保信息公开及时、规范、安全。严格贯彻落实《中华人民共和国政府信息公开条例》文件要求，把政务公开纳入政府绩效考核体系，建立健全政府信息公开工作考核制度、社会评议制度和责任追究制度，定期对政府信息公开工作进行考核、评议，确保政府信息公开各项工作按时按质完成，本年度前进生态环境局未发生政府信息公开工作责任追究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二、主动公开政府信息情况</w:t>
      </w:r>
    </w:p>
    <w:tbl>
      <w:tblPr>
        <w:tblStyle w:val="3"/>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907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黑体_GBK" w:hAnsi="方正黑体_GBK" w:eastAsia="方正黑体_GBK" w:cs="方正黑体_GBK"/>
                <w:color w:val="auto"/>
                <w:kern w:val="0"/>
                <w:sz w:val="21"/>
                <w:szCs w:val="21"/>
                <w:lang w:val="en-US" w:eastAsia="zh-CN" w:bidi="ar"/>
              </w:rPr>
              <w:t>第二十条第（一）项</w:t>
            </w:r>
          </w:p>
        </w:tc>
      </w:tr>
    </w:tbl>
    <w:p>
      <w:pPr>
        <w:shd w:val="clear"/>
        <w:rPr>
          <w:vanish/>
          <w:color w:val="auto"/>
          <w:sz w:val="24"/>
          <w:szCs w:val="24"/>
        </w:rPr>
      </w:pPr>
    </w:p>
    <w:tbl>
      <w:tblPr>
        <w:tblStyle w:val="3"/>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ascii="方正书宋_GBK" w:hAnsi="方正书宋_GBK" w:eastAsia="方正书宋_GBK" w:cs="方正书宋_GBK"/>
                <w:color w:val="auto"/>
                <w:kern w:val="0"/>
                <w:sz w:val="21"/>
                <w:szCs w:val="21"/>
                <w:lang w:val="en-US" w:eastAsia="zh-CN" w:bidi="ar"/>
              </w:rPr>
              <w:t>信息内容</w:t>
            </w:r>
          </w:p>
        </w:tc>
        <w:tc>
          <w:tcPr>
            <w:tcW w:w="226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本年制发件数</w:t>
            </w:r>
          </w:p>
        </w:tc>
        <w:tc>
          <w:tcPr>
            <w:tcW w:w="226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本年废止件数</w:t>
            </w:r>
          </w:p>
        </w:tc>
        <w:tc>
          <w:tcPr>
            <w:tcW w:w="226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left"/>
              <w:rPr>
                <w:color w:val="auto"/>
              </w:rPr>
            </w:pPr>
            <w:r>
              <w:rPr>
                <w:rFonts w:hint="default" w:ascii="方正书宋_GBK" w:hAnsi="方正书宋_GBK" w:eastAsia="方正书宋_GBK" w:cs="方正书宋_GBK"/>
                <w:color w:val="auto"/>
                <w:kern w:val="0"/>
                <w:sz w:val="21"/>
                <w:szCs w:val="21"/>
                <w:lang w:val="en-US" w:eastAsia="zh-CN" w:bidi="ar"/>
              </w:rPr>
              <w:t>规章</w:t>
            </w:r>
          </w:p>
        </w:tc>
        <w:tc>
          <w:tcPr>
            <w:tcW w:w="226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c>
          <w:tcPr>
            <w:tcW w:w="226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c>
          <w:tcPr>
            <w:tcW w:w="226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Times New Roman" w:hAnsi="Times New Roman" w:eastAsia="方正书宋_GBK"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left"/>
              <w:rPr>
                <w:color w:val="auto"/>
              </w:rPr>
            </w:pPr>
            <w:r>
              <w:rPr>
                <w:rFonts w:hint="default" w:ascii="方正书宋_GBK" w:hAnsi="方正书宋_GBK" w:eastAsia="方正书宋_GBK" w:cs="方正书宋_GBK"/>
                <w:color w:val="auto"/>
                <w:kern w:val="0"/>
                <w:sz w:val="21"/>
                <w:szCs w:val="21"/>
                <w:lang w:val="en-US" w:eastAsia="zh-CN" w:bidi="ar"/>
              </w:rPr>
              <w:t>行政规范性文件</w:t>
            </w:r>
          </w:p>
        </w:tc>
        <w:tc>
          <w:tcPr>
            <w:tcW w:w="226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c>
          <w:tcPr>
            <w:tcW w:w="226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c>
          <w:tcPr>
            <w:tcW w:w="226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Times New Roman" w:hAnsi="Times New Roman" w:eastAsia="方正书宋_GBK"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9072"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黑体_GBK" w:hAnsi="方正黑体_GBK" w:eastAsia="方正黑体_GBK" w:cs="方正黑体_GBK"/>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信息内容</w:t>
            </w:r>
          </w:p>
        </w:tc>
        <w:tc>
          <w:tcPr>
            <w:tcW w:w="6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left"/>
              <w:rPr>
                <w:color w:val="auto"/>
              </w:rPr>
            </w:pPr>
            <w:r>
              <w:rPr>
                <w:rFonts w:hint="default" w:ascii="方正书宋_GBK" w:hAnsi="方正书宋_GBK" w:eastAsia="方正书宋_GBK" w:cs="方正书宋_GBK"/>
                <w:color w:val="auto"/>
                <w:kern w:val="0"/>
                <w:sz w:val="21"/>
                <w:szCs w:val="21"/>
                <w:lang w:val="en-US" w:eastAsia="zh-CN" w:bidi="ar"/>
              </w:rPr>
              <w:t>行政许可</w:t>
            </w:r>
          </w:p>
        </w:tc>
        <w:tc>
          <w:tcPr>
            <w:tcW w:w="6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Times New Roman" w:hAnsi="Times New Roman" w:eastAsia="方正书宋_GBK" w:cs="Times New Roman"/>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9072"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黑体_GBK" w:hAnsi="方正黑体_GBK" w:eastAsia="方正黑体_GBK" w:cs="方正黑体_GBK"/>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信息内容</w:t>
            </w:r>
          </w:p>
        </w:tc>
        <w:tc>
          <w:tcPr>
            <w:tcW w:w="6804"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left"/>
              <w:rPr>
                <w:color w:val="auto"/>
              </w:rPr>
            </w:pPr>
            <w:r>
              <w:rPr>
                <w:rFonts w:hint="default" w:ascii="方正书宋_GBK" w:hAnsi="方正书宋_GBK" w:eastAsia="方正书宋_GBK" w:cs="方正书宋_GBK"/>
                <w:color w:val="auto"/>
                <w:kern w:val="0"/>
                <w:sz w:val="21"/>
                <w:szCs w:val="21"/>
                <w:lang w:val="en-US" w:eastAsia="zh-CN" w:bidi="ar"/>
              </w:rPr>
              <w:t>行政处罚</w:t>
            </w:r>
          </w:p>
        </w:tc>
        <w:tc>
          <w:tcPr>
            <w:tcW w:w="6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left"/>
              <w:rPr>
                <w:color w:val="auto"/>
              </w:rPr>
            </w:pPr>
            <w:r>
              <w:rPr>
                <w:rFonts w:hint="default" w:ascii="方正书宋_GBK" w:hAnsi="方正书宋_GBK" w:eastAsia="方正书宋_GBK" w:cs="方正书宋_GBK"/>
                <w:color w:val="auto"/>
                <w:kern w:val="0"/>
                <w:sz w:val="21"/>
                <w:szCs w:val="21"/>
                <w:lang w:val="en-US" w:eastAsia="zh-CN" w:bidi="ar"/>
              </w:rPr>
              <w:t>行政强制</w:t>
            </w:r>
          </w:p>
        </w:tc>
        <w:tc>
          <w:tcPr>
            <w:tcW w:w="6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9072"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黑体_GBK" w:hAnsi="方正黑体_GBK" w:eastAsia="方正黑体_GBK" w:cs="方正黑体_GBK"/>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信息内容</w:t>
            </w:r>
          </w:p>
        </w:tc>
        <w:tc>
          <w:tcPr>
            <w:tcW w:w="6804"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left"/>
              <w:rPr>
                <w:color w:val="auto"/>
              </w:rPr>
            </w:pPr>
            <w:r>
              <w:rPr>
                <w:rFonts w:hint="default" w:ascii="方正书宋_GBK" w:hAnsi="方正书宋_GBK" w:eastAsia="方正书宋_GBK" w:cs="方正书宋_GBK"/>
                <w:color w:val="auto"/>
                <w:kern w:val="0"/>
                <w:sz w:val="21"/>
                <w:szCs w:val="21"/>
                <w:lang w:val="en-US" w:eastAsia="zh-CN" w:bidi="ar"/>
              </w:rPr>
              <w:t>行政事业性收费</w:t>
            </w:r>
          </w:p>
        </w:tc>
        <w:tc>
          <w:tcPr>
            <w:tcW w:w="6804"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0" w:right="0"/>
              <w:jc w:val="center"/>
              <w:rPr>
                <w:color w:val="auto"/>
              </w:rPr>
            </w:pPr>
            <w:r>
              <w:rPr>
                <w:rFonts w:hint="default" w:ascii="方正书宋_GBK" w:hAnsi="方正书宋_GBK" w:eastAsia="方正书宋_GBK" w:cs="方正书宋_GBK"/>
                <w:color w:val="auto"/>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三、收到和处理政府信息公开申请情况</w:t>
      </w:r>
    </w:p>
    <w:tbl>
      <w:tblPr>
        <w:tblStyle w:val="3"/>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69"/>
        <w:gridCol w:w="1106"/>
        <w:gridCol w:w="2744"/>
        <w:gridCol w:w="854"/>
        <w:gridCol w:w="643"/>
        <w:gridCol w:w="714"/>
        <w:gridCol w:w="658"/>
        <w:gridCol w:w="616"/>
        <w:gridCol w:w="420"/>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4719"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微软雅黑" w:hAnsi="微软雅黑" w:eastAsia="微软雅黑" w:cs="微软雅黑"/>
                <w:color w:val="000000"/>
                <w:kern w:val="0"/>
                <w:sz w:val="21"/>
                <w:szCs w:val="21"/>
                <w:lang w:val="en-US" w:eastAsia="zh-CN" w:bidi="ar"/>
              </w:rPr>
              <w:t>（本列数据的勾稽关系为：第一项加第二项之和，等于第三项加第四项之和）</w:t>
            </w:r>
          </w:p>
        </w:tc>
        <w:tc>
          <w:tcPr>
            <w:tcW w:w="4353"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4719" w:type="dxa"/>
            <w:gridSpan w:val="3"/>
            <w:vMerge w:val="continue"/>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自然人</w:t>
            </w:r>
          </w:p>
        </w:tc>
        <w:tc>
          <w:tcPr>
            <w:tcW w:w="305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法人或其他组织</w:t>
            </w:r>
          </w:p>
        </w:tc>
        <w:tc>
          <w:tcPr>
            <w:tcW w:w="448" w:type="dxa"/>
            <w:vMerge w:val="restart"/>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4719" w:type="dxa"/>
            <w:gridSpan w:val="3"/>
            <w:vMerge w:val="continue"/>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企业</w:t>
            </w:r>
          </w:p>
        </w:tc>
        <w:tc>
          <w:tcPr>
            <w:tcW w:w="714"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机构</w:t>
            </w:r>
          </w:p>
        </w:tc>
        <w:tc>
          <w:tcPr>
            <w:tcW w:w="658"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社会公益组织</w:t>
            </w:r>
          </w:p>
        </w:tc>
        <w:tc>
          <w:tcPr>
            <w:tcW w:w="616"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法律服务机构</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其他</w:t>
            </w:r>
          </w:p>
        </w:tc>
        <w:tc>
          <w:tcPr>
            <w:tcW w:w="448"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一、本年新收政府信息公开申请数量</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二、上年结转政府信息公开申请数量</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869" w:type="dxa"/>
            <w:vMerge w:val="restart"/>
            <w:tcBorders>
              <w:top w:val="single" w:color="auto" w:sz="8" w:space="0"/>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1"/>
                <w:szCs w:val="21"/>
                <w:lang w:val="en-US" w:eastAsia="zh-CN" w:bidi="ar"/>
              </w:rPr>
              <w:t>三、本年度办理结果</w:t>
            </w:r>
          </w:p>
        </w:tc>
        <w:tc>
          <w:tcPr>
            <w:tcW w:w="3850" w:type="dxa"/>
            <w:gridSpan w:val="2"/>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1"/>
                <w:szCs w:val="21"/>
                <w:lang w:val="en-US" w:eastAsia="zh-CN" w:bidi="ar"/>
              </w:rPr>
              <w:t>（一）予以公开</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869" w:type="dxa"/>
            <w:vMerge w:val="continue"/>
            <w:tcBorders>
              <w:top w:val="single" w:color="auto" w:sz="8" w:space="0"/>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rPr>
                <w:rFonts w:hint="eastAsia" w:ascii="微软雅黑" w:hAnsi="微软雅黑" w:eastAsia="微软雅黑" w:cs="微软雅黑"/>
                <w:sz w:val="24"/>
                <w:szCs w:val="24"/>
              </w:rPr>
            </w:pPr>
          </w:p>
        </w:tc>
        <w:tc>
          <w:tcPr>
            <w:tcW w:w="3850" w:type="dxa"/>
            <w:gridSpan w:val="2"/>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1"/>
                <w:szCs w:val="21"/>
                <w:lang w:val="en-US" w:eastAsia="zh-CN" w:bidi="ar"/>
              </w:rPr>
              <w:t>（二）部分公开（区分处理的，只计这一情形，不计其他情形）</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restart"/>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三、本年度办理结果</w:t>
            </w:r>
          </w:p>
        </w:tc>
        <w:tc>
          <w:tcPr>
            <w:tcW w:w="1106" w:type="dxa"/>
            <w:vMerge w:val="restart"/>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（三）不予公开</w:t>
            </w: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1.属于国家秘密</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2.其他法律行政法规禁止公开</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3.危及“三安全一稳定”</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4.保护第三方合法权益</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5.属于三类内部事务信息</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6.属于四类过程性信息</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7.属于行政执法案卷</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8.属于行政查询事项</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restart"/>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（四）无法提供</w:t>
            </w: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1.本机关不掌握相关政府信息</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2.没有现成信息需要另行制作</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3.补正后申请内容仍不明确</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restart"/>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（五）不予处理</w:t>
            </w: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1.信访举报投诉类申请</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2.重复申请</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3.要求提供公开出版物</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4.无正当理由大量反复申请</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5.要求行政机关确认或重新出具已获取信息</w:t>
            </w:r>
          </w:p>
        </w:tc>
        <w:tc>
          <w:tcPr>
            <w:tcW w:w="854"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single" w:color="auto" w:sz="8" w:space="0"/>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（六）其他处理</w:t>
            </w: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1.申请人无正当理由逾期不补正、行政机关不再处理其政府信息公开申请</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2.申请人逾期未按收费通知要求缴纳费用、行政机关不再处理其政府信息公开申请</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3.其他</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3850" w:type="dxa"/>
            <w:gridSpan w:val="2"/>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（七）总计</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4719" w:type="dxa"/>
            <w:gridSpan w:val="3"/>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lang w:val="en-US" w:eastAsia="zh-CN" w:bidi="ar"/>
              </w:rPr>
              <w:t>四、结转下年度继续办理</w:t>
            </w:r>
          </w:p>
        </w:tc>
        <w:tc>
          <w:tcPr>
            <w:tcW w:w="85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71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1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44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四、政府信息公开行政复议、行政诉讼情况</w:t>
      </w:r>
    </w:p>
    <w:tbl>
      <w:tblPr>
        <w:tblStyle w:val="3"/>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5"/>
        <w:gridCol w:w="605"/>
        <w:gridCol w:w="605"/>
        <w:gridCol w:w="605"/>
        <w:gridCol w:w="604"/>
        <w:gridCol w:w="604"/>
        <w:gridCol w:w="604"/>
        <w:gridCol w:w="605"/>
        <w:gridCol w:w="605"/>
        <w:gridCol w:w="605"/>
        <w:gridCol w:w="605"/>
        <w:gridCol w:w="605"/>
        <w:gridCol w:w="605"/>
        <w:gridCol w:w="605"/>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024" w:type="dxa"/>
            <w:gridSpan w:val="5"/>
            <w:tcBorders>
              <w:top w:val="single" w:color="auto" w:sz="8" w:space="0"/>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行政复议</w:t>
            </w:r>
          </w:p>
        </w:tc>
        <w:tc>
          <w:tcPr>
            <w:tcW w:w="6048" w:type="dxa"/>
            <w:gridSpan w:val="10"/>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05" w:type="dxa"/>
            <w:vMerge w:val="restart"/>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结果维持</w:t>
            </w:r>
          </w:p>
        </w:tc>
        <w:tc>
          <w:tcPr>
            <w:tcW w:w="605" w:type="dxa"/>
            <w:vMerge w:val="restart"/>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纠正</w:t>
            </w:r>
          </w:p>
        </w:tc>
        <w:tc>
          <w:tcPr>
            <w:tcW w:w="605" w:type="dxa"/>
            <w:vMerge w:val="restart"/>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tc>
        <w:tc>
          <w:tcPr>
            <w:tcW w:w="605" w:type="dxa"/>
            <w:vMerge w:val="restart"/>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审结</w:t>
            </w:r>
          </w:p>
        </w:tc>
        <w:tc>
          <w:tcPr>
            <w:tcW w:w="604" w:type="dxa"/>
            <w:vMerge w:val="restart"/>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总计</w:t>
            </w:r>
          </w:p>
        </w:tc>
        <w:tc>
          <w:tcPr>
            <w:tcW w:w="3023" w:type="dxa"/>
            <w:gridSpan w:val="5"/>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未经复议直接起诉</w:t>
            </w:r>
          </w:p>
        </w:tc>
        <w:tc>
          <w:tcPr>
            <w:tcW w:w="3025" w:type="dxa"/>
            <w:gridSpan w:val="5"/>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05" w:type="dxa"/>
            <w:vMerge w:val="continue"/>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605" w:type="dxa"/>
            <w:vMerge w:val="continue"/>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605" w:type="dxa"/>
            <w:vMerge w:val="continue"/>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605" w:type="dxa"/>
            <w:vMerge w:val="continue"/>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rPr>
                <w:rFonts w:hint="eastAsia" w:ascii="宋体"/>
                <w:sz w:val="24"/>
                <w:szCs w:val="24"/>
              </w:rPr>
            </w:pPr>
          </w:p>
        </w:tc>
        <w:tc>
          <w:tcPr>
            <w:tcW w:w="604"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维持</w:t>
            </w:r>
          </w:p>
        </w:tc>
        <w:tc>
          <w:tcPr>
            <w:tcW w:w="604"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纠正</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审结</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维持</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纠正</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结果</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审结</w:t>
            </w:r>
          </w:p>
        </w:tc>
        <w:tc>
          <w:tcPr>
            <w:tcW w:w="605"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05"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五、存在的主要问题及下步工作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 政府信息公开工作在推进政策解读方面还需加强。缺乏利用微信公众号、新媒体平台等渠道多种形式进行公开，主动回应社会关切，对咨询、意见、建议较为集中的内容，要有针对性地予以解答。同时完善各版块信息重点的突出，保证各版块公开内容及时、保质保量。推动信息公开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 政府信息和政务公开信息还需继续优化。加强统一政府信息公开平台日常巡查、维护，确保内容更新及时，加强动态管理，根据实际变化及时调整。增加服务内容，为广大居民群众提供更公开、快捷、透明、高效的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按照相关文件规定的按件、按量收费标准，</w:t>
      </w:r>
      <w:r>
        <w:rPr>
          <w:rFonts w:hint="eastAsia" w:ascii="微软雅黑" w:hAnsi="微软雅黑" w:eastAsia="微软雅黑" w:cs="微软雅黑"/>
          <w:i w:val="0"/>
          <w:iCs w:val="0"/>
          <w:caps w:val="0"/>
          <w:color w:val="333333"/>
          <w:spacing w:val="0"/>
          <w:sz w:val="24"/>
          <w:szCs w:val="24"/>
          <w:shd w:val="clear" w:fill="FFFFFF"/>
          <w:lang w:eastAsia="zh-CN"/>
        </w:rPr>
        <w:t>前进生态环境局</w:t>
      </w:r>
      <w:r>
        <w:rPr>
          <w:rFonts w:hint="eastAsia" w:ascii="微软雅黑" w:hAnsi="微软雅黑" w:eastAsia="微软雅黑" w:cs="微软雅黑"/>
          <w:i w:val="0"/>
          <w:iCs w:val="0"/>
          <w:caps w:val="0"/>
          <w:color w:val="333333"/>
          <w:spacing w:val="0"/>
          <w:sz w:val="24"/>
          <w:szCs w:val="24"/>
          <w:shd w:val="clear" w:fill="FFFFFF"/>
        </w:rPr>
        <w:t>本年度没有产生信息公开处理费。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400" w:firstLineChars="1800"/>
        <w:jc w:val="both"/>
        <w:rPr>
          <w:rFonts w:hint="eastAsia" w:ascii="微软雅黑" w:hAnsi="微软雅黑" w:eastAsia="微软雅黑" w:cs="微软雅黑"/>
          <w:i w:val="0"/>
          <w:iCs w:val="0"/>
          <w:caps w:val="0"/>
          <w:color w:val="333333"/>
          <w:spacing w:val="0"/>
          <w:sz w:val="30"/>
          <w:szCs w:val="30"/>
          <w:shd w:val="clear" w:fill="FFFFFF"/>
          <w:lang w:val="en-US" w:eastAsia="zh-CN"/>
        </w:rPr>
      </w:pPr>
      <w:bookmarkStart w:id="0" w:name="_GoBack"/>
      <w:bookmarkEnd w:id="0"/>
      <w:r>
        <w:rPr>
          <w:rFonts w:hint="eastAsia" w:ascii="微软雅黑" w:hAnsi="微软雅黑" w:eastAsia="微软雅黑" w:cs="微软雅黑"/>
          <w:i w:val="0"/>
          <w:iCs w:val="0"/>
          <w:caps w:val="0"/>
          <w:color w:val="333333"/>
          <w:spacing w:val="0"/>
          <w:sz w:val="30"/>
          <w:szCs w:val="30"/>
          <w:shd w:val="clear" w:fill="FFFFFF"/>
          <w:lang w:val="en-US" w:eastAsia="zh-CN"/>
        </w:rPr>
        <w:t>前进生态环境局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2023年1月18日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127981D7-BACB-41D6-BBDC-C7201C72F527}"/>
  </w:font>
  <w:font w:name="方正黑体_GBK">
    <w:altName w:val="微软雅黑"/>
    <w:panose1 w:val="00000000000000000000"/>
    <w:charset w:val="00"/>
    <w:family w:val="auto"/>
    <w:pitch w:val="default"/>
    <w:sig w:usb0="00000000" w:usb1="00000000" w:usb2="00000000" w:usb3="00000000" w:csb0="00000000" w:csb1="00000000"/>
    <w:embedRegular r:id="rId2" w:fontKey="{A6FA6845-B3AB-4999-BD7A-77DE1E25D997}"/>
  </w:font>
  <w:font w:name="方正书宋_GBK">
    <w:altName w:val="微软雅黑"/>
    <w:panose1 w:val="00000000000000000000"/>
    <w:charset w:val="00"/>
    <w:family w:val="auto"/>
    <w:pitch w:val="default"/>
    <w:sig w:usb0="00000000" w:usb1="00000000" w:usb2="00000000" w:usb3="00000000" w:csb0="00000000" w:csb1="00000000"/>
    <w:embedRegular r:id="rId3" w:fontKey="{7DF6E248-B18F-4D87-8827-18E2E28E0206}"/>
  </w:font>
  <w:font w:name="方正小标宋简体">
    <w:panose1 w:val="02000000000000000000"/>
    <w:charset w:val="86"/>
    <w:family w:val="auto"/>
    <w:pitch w:val="default"/>
    <w:sig w:usb0="00000001" w:usb1="08000000" w:usb2="00000000" w:usb3="00000000" w:csb0="00040000" w:csb1="00000000"/>
    <w:embedRegular r:id="rId4" w:fontKey="{B9A6B8EA-8622-4BD1-A85C-B9E1ED967B06}"/>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U2OTBjNWU3NzQ5M2RiMTkyNDk2NjdkMGFiNTEifQ=="/>
  </w:docVars>
  <w:rsids>
    <w:rsidRoot w:val="00000000"/>
    <w:rsid w:val="11947ED1"/>
    <w:rsid w:val="124C371E"/>
    <w:rsid w:val="146B333A"/>
    <w:rsid w:val="24377A4F"/>
    <w:rsid w:val="25826E37"/>
    <w:rsid w:val="2D3253F1"/>
    <w:rsid w:val="3583008C"/>
    <w:rsid w:val="3C8D359E"/>
    <w:rsid w:val="406175E4"/>
    <w:rsid w:val="47296C29"/>
    <w:rsid w:val="48FD4848"/>
    <w:rsid w:val="49DB6E7C"/>
    <w:rsid w:val="4D47680A"/>
    <w:rsid w:val="547D5BC4"/>
    <w:rsid w:val="58D702A9"/>
    <w:rsid w:val="6A7B324A"/>
    <w:rsid w:val="6DE47554"/>
    <w:rsid w:val="7151234D"/>
    <w:rsid w:val="7586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2076</Words>
  <Characters>2108</Characters>
  <Lines>0</Lines>
  <Paragraphs>0</Paragraphs>
  <TotalTime>3</TotalTime>
  <ScaleCrop>false</ScaleCrop>
  <LinksUpToDate>false</LinksUpToDate>
  <CharactersWithSpaces>2196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2023-01-13T01:41:00Z</dcterms:created>
  <dc:creator>Administrator</dc:creator>
  <cp:lastModifiedBy> 夏天我们结婚  L</cp:lastModifiedBy>
  <dcterms:modified xsi:type="dcterms:W3CDTF">2023-01-18T02:15:08Z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72E248CDD871424C87A49F2C72500682</vt:lpwstr>
  </property>
</Properties>
</file>