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1" w:hanging="2081" w:hangingChars="400"/>
        <w:rPr>
          <w:rFonts w:ascii="微软雅黑" w:hAnsi="微软雅黑" w:eastAsia="微软雅黑" w:cs="微软雅黑"/>
          <w:b/>
          <w:bCs/>
          <w:i w:val="0"/>
          <w:iCs w:val="0"/>
          <w:caps w:val="0"/>
          <w:color w:val="auto"/>
          <w:spacing w:val="0"/>
          <w:sz w:val="52"/>
          <w:szCs w:val="52"/>
          <w:shd w:val="clear" w:fill="FFFFFF"/>
        </w:rPr>
      </w:pPr>
      <w:r>
        <w:rPr>
          <w:rFonts w:ascii="微软雅黑" w:hAnsi="微软雅黑" w:eastAsia="微软雅黑" w:cs="微软雅黑"/>
          <w:b/>
          <w:bCs/>
          <w:i w:val="0"/>
          <w:iCs w:val="0"/>
          <w:caps w:val="0"/>
          <w:color w:val="auto"/>
          <w:spacing w:val="0"/>
          <w:sz w:val="52"/>
          <w:szCs w:val="52"/>
          <w:shd w:val="clear" w:fill="FFFFFF"/>
        </w:rPr>
        <w:t>前进区卫生健康局202</w:t>
      </w:r>
      <w:r>
        <w:rPr>
          <w:rFonts w:hint="eastAsia" w:ascii="微软雅黑" w:hAnsi="微软雅黑" w:eastAsia="微软雅黑" w:cs="微软雅黑"/>
          <w:b/>
          <w:bCs/>
          <w:i w:val="0"/>
          <w:iCs w:val="0"/>
          <w:caps w:val="0"/>
          <w:color w:val="auto"/>
          <w:spacing w:val="0"/>
          <w:sz w:val="52"/>
          <w:szCs w:val="52"/>
          <w:shd w:val="clear" w:fill="FFFFFF"/>
          <w:lang w:val="en-US" w:eastAsia="zh-CN"/>
        </w:rPr>
        <w:t>3</w:t>
      </w:r>
      <w:r>
        <w:rPr>
          <w:rFonts w:ascii="微软雅黑" w:hAnsi="微软雅黑" w:eastAsia="微软雅黑" w:cs="微软雅黑"/>
          <w:b/>
          <w:bCs/>
          <w:i w:val="0"/>
          <w:iCs w:val="0"/>
          <w:caps w:val="0"/>
          <w:color w:val="auto"/>
          <w:spacing w:val="0"/>
          <w:sz w:val="52"/>
          <w:szCs w:val="52"/>
          <w:shd w:val="clear" w:fill="FFFFFF"/>
        </w:rPr>
        <w:t>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年，前进区卫生健康局认真贯彻落实《中华人民共和国政府信息公开条例》，坚决落实区委、区政府关于全面推进政府公开工作的安排部署，着力推进政策公开、服务公开、结果公开，依法保障人民群众的知情权、参与权和监督权，保障政府信息公开的稳步推进，为促进卫生健康事业持续发展发挥了积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2023年全年，我局主要围绕疫情防控、学校卫生监督、二次供水卫生监督、公共场所卫生监督、医疗机构备案、法人变更、诊所注销</w:t>
      </w:r>
      <w:r>
        <w:rPr>
          <w:rFonts w:hint="eastAsia" w:cs="宋体"/>
          <w:kern w:val="0"/>
          <w:sz w:val="24"/>
          <w:szCs w:val="24"/>
          <w:lang w:val="en-US" w:eastAsia="zh-CN" w:bidi="ar"/>
        </w:rPr>
        <w:t>、停业</w:t>
      </w:r>
      <w:r>
        <w:rPr>
          <w:rFonts w:hint="eastAsia" w:ascii="宋体" w:hAnsi="宋体" w:eastAsia="宋体" w:cs="宋体"/>
          <w:kern w:val="0"/>
          <w:sz w:val="24"/>
          <w:szCs w:val="24"/>
          <w:lang w:val="en-US" w:eastAsia="zh-CN" w:bidi="ar"/>
        </w:rPr>
        <w:t>以及日常工作情况等全面推进政务公开工作，通过“前进区人民政府”网站主动公开政府信息</w:t>
      </w:r>
      <w:r>
        <w:rPr>
          <w:rFonts w:hint="eastAsia" w:cs="宋体"/>
          <w:kern w:val="0"/>
          <w:sz w:val="24"/>
          <w:szCs w:val="24"/>
          <w:lang w:val="en-US" w:eastAsia="zh-CN" w:bidi="ar"/>
        </w:rPr>
        <w:t>共</w:t>
      </w:r>
      <w:r>
        <w:rPr>
          <w:rFonts w:hint="eastAsia" w:ascii="宋体" w:hAnsi="宋体" w:eastAsia="宋体" w:cs="宋体"/>
          <w:kern w:val="0"/>
          <w:sz w:val="24"/>
          <w:szCs w:val="24"/>
          <w:lang w:val="en-US" w:eastAsia="zh-CN" w:bidi="ar"/>
        </w:rPr>
        <w:t>36条。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局定期排查政务信息公开电话、邮箱、信箱等媒介运作情况，始终保持政务信息公开申请渠道畅通，明确专人专责受理政务信息公开申请，严格根据政府信息公开的有关规定和法定程序，限期回复、妥善办理。2023年度我局未收到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（三）政府信息管理情况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是进一步完善政务公开常态化管理机制，不断建立健全政务信息发布、公开、审查等制度，探索对政务公开的规范管理。二是进一步加强重要政务公开的管理。坚持政策法规全方位公开，全面公开法规规章，并按要求及时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（四）政府信息公开平台建设情况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我局主要通过前进区人民政府管理平台开展政府信息公开工作，充分发挥政务公开网站第一平台作用。进一步落实栏目更新，完善政策解读、财政预算、重点领域信息等栏目信息。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（五）监督保障工作情况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年，我局认真抓好政府信息公开监督保障工作。一是不断完善优化信息公开工作机制，及时调整单位政府信息公开工作领导小组成员，指定局办公室为责任科室，明确专人负责政府信息公开工作，建立了有领导分管、有科室承接、有专人承办、有各方监督的工作机制，层层压实责任，加强对政府信息公开工作的推进、指导、协调和监督检查。二是做好政府信息公开保密审查工作，严格按照政府信息保密审查程序对我区卫生健康政府信息公开工作进行审核把关，做到依法依规、符合保密规定。不断完善健全我局政府信息公开工作制度，扎实有效深入推进政府信息公开工作</w:t>
      </w:r>
      <w:r>
        <w:rPr>
          <w:rFonts w:hint="eastAsia" w:cs="宋体"/>
          <w:kern w:val="0"/>
          <w:sz w:val="24"/>
          <w:szCs w:val="24"/>
          <w:lang w:val="en-US" w:eastAsia="zh-CN" w:bidi="ar"/>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主动公开政府信息情况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640" w:leftChars="0" w:right="0" w:rightChars="0"/>
        <w:jc w:val="left"/>
        <w:rPr>
          <w:rFonts w:hint="eastAsia" w:ascii="宋体" w:hAnsi="宋体" w:eastAsia="宋体" w:cs="宋体"/>
          <w:kern w:val="0"/>
          <w:sz w:val="24"/>
          <w:szCs w:val="24"/>
          <w:lang w:val="en-US" w:eastAsia="zh-CN" w:bidi="ar"/>
        </w:rPr>
      </w:pPr>
    </w:p>
    <w:tbl>
      <w:tblPr>
        <w:tblStyle w:val="3"/>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2268"/>
        <w:gridCol w:w="2268"/>
        <w:gridCol w:w="2268"/>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8939" w:type="dxa"/>
            <w:gridSpan w:val="4"/>
            <w:tcBorders>
              <w:top w:val="single" w:color="auto" w:sz="8" w:space="0"/>
              <w:left w:val="single" w:color="auto" w:sz="8" w:space="0"/>
              <w:bottom w:val="single" w:color="auto" w:sz="8" w:space="0"/>
              <w:right w:val="single" w:color="auto" w:sz="8" w:space="0"/>
            </w:tcBorders>
            <w:shd w:val="clear" w:color="auto" w:fill="B4C6E7"/>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26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本年制发件数</w:t>
            </w:r>
          </w:p>
        </w:tc>
        <w:tc>
          <w:tcPr>
            <w:tcW w:w="226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本年废止件数</w:t>
            </w:r>
          </w:p>
        </w:tc>
        <w:tc>
          <w:tcPr>
            <w:tcW w:w="21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规章</w:t>
            </w:r>
          </w:p>
        </w:tc>
        <w:tc>
          <w:tcPr>
            <w:tcW w:w="22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2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1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行政规范性文件</w:t>
            </w:r>
          </w:p>
        </w:tc>
        <w:tc>
          <w:tcPr>
            <w:tcW w:w="22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2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1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8939" w:type="dxa"/>
            <w:gridSpan w:val="4"/>
            <w:tcBorders>
              <w:top w:val="nil"/>
              <w:left w:val="single" w:color="auto" w:sz="8" w:space="0"/>
              <w:bottom w:val="single" w:color="auto" w:sz="8" w:space="0"/>
              <w:right w:val="single" w:color="auto" w:sz="8" w:space="0"/>
            </w:tcBorders>
            <w:shd w:val="clear" w:color="auto" w:fill="B4C6E7"/>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671"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行政许可</w:t>
            </w:r>
          </w:p>
        </w:tc>
        <w:tc>
          <w:tcPr>
            <w:tcW w:w="6671"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8939" w:type="dxa"/>
            <w:gridSpan w:val="4"/>
            <w:tcBorders>
              <w:top w:val="nil"/>
              <w:left w:val="single" w:color="auto" w:sz="8" w:space="0"/>
              <w:bottom w:val="single" w:color="auto" w:sz="8" w:space="0"/>
              <w:right w:val="single" w:color="auto" w:sz="8" w:space="0"/>
            </w:tcBorders>
            <w:shd w:val="clear" w:color="auto" w:fill="B4C6E7"/>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671"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行政处罚</w:t>
            </w:r>
          </w:p>
        </w:tc>
        <w:tc>
          <w:tcPr>
            <w:tcW w:w="6671"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行政强制</w:t>
            </w:r>
          </w:p>
        </w:tc>
        <w:tc>
          <w:tcPr>
            <w:tcW w:w="6671"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8939" w:type="dxa"/>
            <w:gridSpan w:val="4"/>
            <w:tcBorders>
              <w:top w:val="nil"/>
              <w:left w:val="single" w:color="auto" w:sz="8" w:space="0"/>
              <w:bottom w:val="single" w:color="auto" w:sz="8" w:space="0"/>
              <w:right w:val="single" w:color="auto" w:sz="8" w:space="0"/>
            </w:tcBorders>
            <w:shd w:val="clear" w:color="auto" w:fill="B4C6E7"/>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671"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行政事业性收费</w:t>
            </w:r>
          </w:p>
        </w:tc>
        <w:tc>
          <w:tcPr>
            <w:tcW w:w="6671"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leftChars="0" w:right="0" w:firstLine="640" w:firstLineChars="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收到和处理政府信息公开申请情况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rightChars="0"/>
        <w:jc w:val="left"/>
        <w:rPr>
          <w:rFonts w:hint="eastAsia" w:ascii="宋体" w:hAnsi="宋体" w:eastAsia="宋体" w:cs="宋体"/>
          <w:b/>
          <w:bCs/>
          <w:kern w:val="0"/>
          <w:sz w:val="24"/>
          <w:szCs w:val="24"/>
          <w:lang w:val="en-US" w:eastAsia="zh-CN" w:bidi="ar"/>
        </w:rPr>
      </w:pPr>
    </w:p>
    <w:tbl>
      <w:tblPr>
        <w:tblStyle w:val="3"/>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869"/>
        <w:gridCol w:w="1106"/>
        <w:gridCol w:w="2744"/>
        <w:gridCol w:w="854"/>
        <w:gridCol w:w="643"/>
        <w:gridCol w:w="714"/>
        <w:gridCol w:w="658"/>
        <w:gridCol w:w="616"/>
        <w:gridCol w:w="420"/>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719"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4353"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719" w:type="dxa"/>
            <w:gridSpan w:val="3"/>
            <w:vMerge w:val="continue"/>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single" w:color="auto" w:sz="2"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自然人</w:t>
            </w:r>
          </w:p>
        </w:tc>
        <w:tc>
          <w:tcPr>
            <w:tcW w:w="3051" w:type="dxa"/>
            <w:gridSpan w:val="5"/>
            <w:tcBorders>
              <w:top w:val="single" w:color="auto" w:sz="8"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法人或其他组织</w:t>
            </w:r>
          </w:p>
        </w:tc>
        <w:tc>
          <w:tcPr>
            <w:tcW w:w="448" w:type="dxa"/>
            <w:vMerge w:val="restart"/>
            <w:tcBorders>
              <w:top w:val="single" w:color="auto" w:sz="8"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719" w:type="dxa"/>
            <w:gridSpan w:val="3"/>
            <w:vMerge w:val="continue"/>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single" w:color="auto" w:sz="2"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643" w:type="dxa"/>
            <w:tcBorders>
              <w:top w:val="single" w:color="auto" w:sz="2"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商业</w:t>
            </w:r>
          </w:p>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企业</w:t>
            </w:r>
          </w:p>
        </w:tc>
        <w:tc>
          <w:tcPr>
            <w:tcW w:w="714" w:type="dxa"/>
            <w:tcBorders>
              <w:top w:val="single" w:color="auto" w:sz="2"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科研</w:t>
            </w:r>
          </w:p>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机构</w:t>
            </w:r>
          </w:p>
        </w:tc>
        <w:tc>
          <w:tcPr>
            <w:tcW w:w="658" w:type="dxa"/>
            <w:tcBorders>
              <w:top w:val="single" w:color="auto" w:sz="8"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社会公益组织</w:t>
            </w:r>
          </w:p>
        </w:tc>
        <w:tc>
          <w:tcPr>
            <w:tcW w:w="616" w:type="dxa"/>
            <w:tcBorders>
              <w:top w:val="single" w:color="auto" w:sz="8"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法律服务机构</w:t>
            </w:r>
          </w:p>
        </w:tc>
        <w:tc>
          <w:tcPr>
            <w:tcW w:w="420" w:type="dxa"/>
            <w:tcBorders>
              <w:top w:val="single" w:color="auto" w:sz="8" w:space="0"/>
              <w:left w:val="single" w:color="auto" w:sz="2"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448" w:type="dxa"/>
            <w:vMerge w:val="continue"/>
            <w:tcBorders>
              <w:top w:val="single" w:color="auto" w:sz="8"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一、本年新收政府信息公开申请数量</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二、上年结转政府信息公开申请数量</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385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（一）予以公开</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385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（二）部分公开（区分处理的，只计这一情形，不计其他情形）</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restart"/>
            <w:tcBorders>
              <w:top w:val="nil"/>
              <w:left w:val="single" w:color="auto" w:sz="8" w:space="0"/>
              <w:bottom w:val="nil"/>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1106" w:type="dxa"/>
            <w:vMerge w:val="restart"/>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（三）不予公开</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1.属于国家秘密</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2.其他法律行政法规禁止公开</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3.危及“三安全一稳定”</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4.保护第三方合法权益</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5.属于三类内部事务信息</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6.属于四类过程性信息</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7.属于行政执法案卷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8.属于行政查询事项</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restart"/>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（四）无法提供</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1.本机关不掌握相关政府信息</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2.没有现成信息需要另行制作</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3.补正后申请内容仍不明确</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restart"/>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（五）不予处理</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1.信访举报投诉类申请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2.重复申请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3.要求提供公开出版物</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4.无正当理由大量反复申请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854"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single" w:color="auto" w:sz="2" w:space="0"/>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restart"/>
            <w:tcBorders>
              <w:top w:val="nil"/>
              <w:left w:val="single" w:color="auto" w:sz="2" w:space="0"/>
              <w:bottom w:val="in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（六）其他处理</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nil"/>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1106" w:type="dxa"/>
            <w:vMerge w:val="continue"/>
            <w:tcBorders>
              <w:top w:val="nil"/>
              <w:left w:val="single" w:color="auto" w:sz="2" w:space="0"/>
              <w:bottom w:val="inset" w:color="auto" w:sz="8" w:space="0"/>
              <w:right w:val="single" w:color="auto" w:sz="8" w:space="0"/>
            </w:tcBorders>
            <w:noWrap w:val="0"/>
            <w:tcMar>
              <w:top w:w="0" w:type="dxa"/>
              <w:left w:w="57" w:type="dxa"/>
              <w:bottom w:w="0" w:type="dxa"/>
              <w:right w:w="57" w:type="dxa"/>
            </w:tcMar>
            <w:vAlign w:val="center"/>
          </w:tcPr>
          <w:p>
            <w:pPr>
              <w:rPr>
                <w:rFonts w:hint="eastAsia" w:ascii="宋体" w:hAnsi="宋体" w:eastAsia="宋体" w:cs="宋体"/>
                <w:sz w:val="24"/>
                <w:szCs w:val="24"/>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3.其他</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869" w:type="dxa"/>
            <w:vMerge w:val="continue"/>
            <w:tcBorders>
              <w:top w:val="nil"/>
              <w:left w:val="single" w:color="auto" w:sz="8" w:space="0"/>
              <w:bottom w:val="nil"/>
              <w:right w:val="single" w:color="auto" w:sz="8" w:space="0"/>
            </w:tcBorders>
            <w:noWrap w:val="0"/>
            <w:vAlign w:val="center"/>
          </w:tcPr>
          <w:p>
            <w:pPr>
              <w:rPr>
                <w:rFonts w:hint="eastAsia" w:ascii="宋体" w:hAnsi="宋体" w:eastAsia="宋体" w:cs="宋体"/>
                <w:sz w:val="24"/>
                <w:szCs w:val="24"/>
              </w:rPr>
            </w:pPr>
          </w:p>
        </w:tc>
        <w:tc>
          <w:tcPr>
            <w:tcW w:w="385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（七）总计</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25" w:hRule="atLeast"/>
          <w:jc w:val="center"/>
        </w:trPr>
        <w:tc>
          <w:tcPr>
            <w:tcW w:w="4719"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四、结转下年度继续办理</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adjustRightInd w:val="0"/>
        <w:snapToGrid w:val="0"/>
        <w:spacing w:before="100" w:beforeAutospacing="1" w:after="100" w:afterAutospacing="1" w:line="460" w:lineRule="exact"/>
        <w:ind w:right="0" w:firstLine="482" w:firstLineChars="20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四、政府信息公开行政复议、行政诉讼情况</w:t>
      </w:r>
    </w:p>
    <w:tbl>
      <w:tblPr>
        <w:tblStyle w:val="3"/>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605"/>
        <w:gridCol w:w="605"/>
        <w:gridCol w:w="605"/>
        <w:gridCol w:w="605"/>
        <w:gridCol w:w="604"/>
        <w:gridCol w:w="604"/>
        <w:gridCol w:w="604"/>
        <w:gridCol w:w="605"/>
        <w:gridCol w:w="605"/>
        <w:gridCol w:w="605"/>
        <w:gridCol w:w="605"/>
        <w:gridCol w:w="605"/>
        <w:gridCol w:w="605"/>
        <w:gridCol w:w="605"/>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302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行政复议</w:t>
            </w:r>
          </w:p>
        </w:tc>
        <w:tc>
          <w:tcPr>
            <w:tcW w:w="6048" w:type="dxa"/>
            <w:gridSpan w:val="10"/>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605" w:type="dxa"/>
            <w:vMerge w:val="restar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结果维持</w:t>
            </w:r>
          </w:p>
        </w:tc>
        <w:tc>
          <w:tcPr>
            <w:tcW w:w="605" w:type="dxa"/>
            <w:vMerge w:val="restart"/>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05" w:type="dxa"/>
            <w:vMerge w:val="restart"/>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05" w:type="dxa"/>
            <w:vMerge w:val="restart"/>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04" w:type="dxa"/>
            <w:vMerge w:val="restart"/>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c>
          <w:tcPr>
            <w:tcW w:w="3023"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未经复议直接起诉</w:t>
            </w:r>
          </w:p>
        </w:tc>
        <w:tc>
          <w:tcPr>
            <w:tcW w:w="3025"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605" w:type="dxa"/>
            <w:vMerge w:val="continue"/>
            <w:tcBorders>
              <w:top w:val="nil"/>
              <w:left w:val="single" w:color="auto" w:sz="8" w:space="0"/>
              <w:bottom w:val="single" w:color="auto" w:sz="8" w:space="0"/>
              <w:right w:val="single" w:color="auto" w:sz="8" w:space="0"/>
            </w:tcBorders>
            <w:noWrap w:val="0"/>
            <w:vAlign w:val="center"/>
          </w:tcPr>
          <w:p>
            <w:pPr>
              <w:rPr>
                <w:rFonts w:hint="eastAsia" w:ascii="宋体" w:hAnsi="宋体" w:eastAsia="宋体" w:cs="宋体"/>
                <w:sz w:val="24"/>
                <w:szCs w:val="24"/>
              </w:rPr>
            </w:pPr>
          </w:p>
        </w:tc>
        <w:tc>
          <w:tcPr>
            <w:tcW w:w="605" w:type="dxa"/>
            <w:vMerge w:val="continue"/>
            <w:tcBorders>
              <w:top w:val="nil"/>
              <w:left w:val="nil"/>
              <w:bottom w:val="single" w:color="auto" w:sz="8" w:space="0"/>
              <w:right w:val="single" w:color="auto" w:sz="8" w:space="0"/>
            </w:tcBorders>
            <w:noWrap w:val="0"/>
            <w:vAlign w:val="center"/>
          </w:tcPr>
          <w:p>
            <w:pPr>
              <w:rPr>
                <w:rFonts w:hint="eastAsia" w:ascii="宋体" w:hAnsi="宋体" w:eastAsia="宋体" w:cs="宋体"/>
                <w:sz w:val="24"/>
                <w:szCs w:val="24"/>
              </w:rPr>
            </w:pPr>
          </w:p>
        </w:tc>
        <w:tc>
          <w:tcPr>
            <w:tcW w:w="605" w:type="dxa"/>
            <w:vMerge w:val="continue"/>
            <w:tcBorders>
              <w:top w:val="single" w:color="auto" w:sz="8" w:space="0"/>
              <w:left w:val="nil"/>
              <w:bottom w:val="single" w:color="auto" w:sz="8" w:space="0"/>
              <w:right w:val="single" w:color="auto" w:sz="8" w:space="0"/>
            </w:tcBorders>
            <w:noWrap w:val="0"/>
            <w:vAlign w:val="center"/>
          </w:tcPr>
          <w:p>
            <w:pPr>
              <w:rPr>
                <w:rFonts w:hint="eastAsia" w:ascii="宋体" w:hAnsi="宋体" w:eastAsia="宋体" w:cs="宋体"/>
                <w:sz w:val="24"/>
                <w:szCs w:val="24"/>
              </w:rPr>
            </w:pPr>
          </w:p>
        </w:tc>
        <w:tc>
          <w:tcPr>
            <w:tcW w:w="605" w:type="dxa"/>
            <w:vMerge w:val="continue"/>
            <w:tcBorders>
              <w:top w:val="single" w:color="auto" w:sz="8" w:space="0"/>
              <w:left w:val="nil"/>
              <w:bottom w:val="single" w:color="auto" w:sz="8" w:space="0"/>
              <w:right w:val="single" w:color="auto" w:sz="8" w:space="0"/>
            </w:tcBorders>
            <w:noWrap w:val="0"/>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rPr>
                <w:rFonts w:hint="eastAsia" w:ascii="宋体" w:hAnsi="宋体" w:eastAsia="宋体" w:cs="宋体"/>
                <w:sz w:val="24"/>
                <w:szCs w:val="24"/>
              </w:rPr>
            </w:pPr>
          </w:p>
        </w:tc>
        <w:tc>
          <w:tcPr>
            <w:tcW w:w="60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60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snapToGrid w:val="0"/>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0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605"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100" w:beforeAutospacing="1" w:after="100" w:afterAutospacing="1" w:line="28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年，我局虽然在政府信息公开等方面取得了一定的成绩，但还存在一些不足，一是信息公开的便民性有待进一步提高，在推动信息公开与办事公开相结合、特别是推进网上办事等方面还有待改进。二是公开内容有待进一步深化。为此，下一步我局将根据上级部门要求，继续加大政府信息公开工作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（一）</w:t>
      </w:r>
      <w:r>
        <w:rPr>
          <w:rFonts w:hint="eastAsia" w:ascii="宋体" w:hAnsi="宋体" w:eastAsia="宋体" w:cs="宋体"/>
          <w:kern w:val="0"/>
          <w:sz w:val="24"/>
          <w:szCs w:val="24"/>
          <w:lang w:val="en-US" w:eastAsia="zh-CN" w:bidi="ar"/>
        </w:rPr>
        <w:t>加强宣传，营造良好政府信息公开舆论氛围。2024年，卫健局将通过各种途径大力宣传信息公开制度，使信息公开制度真正深入人心；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（二）</w:t>
      </w:r>
      <w:r>
        <w:rPr>
          <w:rFonts w:hint="eastAsia" w:ascii="宋体" w:hAnsi="宋体" w:eastAsia="宋体" w:cs="宋体"/>
          <w:kern w:val="0"/>
          <w:sz w:val="24"/>
          <w:szCs w:val="24"/>
          <w:lang w:val="en-US" w:eastAsia="zh-CN" w:bidi="ar"/>
        </w:rPr>
        <w:t>进一步加大政府信息主动公开的力度。坚持以公开为原则，不公开为例外，通过各种形式向广人</w:t>
      </w:r>
      <w:r>
        <w:rPr>
          <w:rFonts w:hint="eastAsia" w:cs="宋体"/>
          <w:kern w:val="0"/>
          <w:sz w:val="24"/>
          <w:szCs w:val="24"/>
          <w:lang w:val="en-US" w:eastAsia="zh-CN" w:bidi="ar"/>
        </w:rPr>
        <w:t>民</w:t>
      </w:r>
      <w:bookmarkStart w:id="0" w:name="_GoBack"/>
      <w:bookmarkEnd w:id="0"/>
      <w:r>
        <w:rPr>
          <w:rFonts w:hint="eastAsia" w:ascii="宋体" w:hAnsi="宋体" w:eastAsia="宋体" w:cs="宋体"/>
          <w:kern w:val="0"/>
          <w:sz w:val="24"/>
          <w:szCs w:val="24"/>
          <w:lang w:val="en-US" w:eastAsia="zh-CN" w:bidi="ar"/>
        </w:rPr>
        <w:t>公开政府信息，在做好网上公开工作的情况下，重点加强宣传栏等各类便民途径的信息公开。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2023年</w:t>
      </w:r>
      <w:r>
        <w:rPr>
          <w:rFonts w:hint="eastAsia" w:cs="宋体"/>
          <w:kern w:val="0"/>
          <w:sz w:val="24"/>
          <w:szCs w:val="24"/>
          <w:lang w:val="en-US" w:eastAsia="zh-CN" w:bidi="ar"/>
        </w:rPr>
        <w:t>度，前进区卫生健康局无政府信息公开信息处理费产生。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9A150"/>
    <w:multiLevelType w:val="singleLevel"/>
    <w:tmpl w:val="7A89A1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ODQ2MmM4OTUyODA5ZWM3NzY5MjcwODRiMDQxYTMifQ=="/>
  </w:docVars>
  <w:rsids>
    <w:rsidRoot w:val="34192528"/>
    <w:rsid w:val="035C5045"/>
    <w:rsid w:val="17AB5713"/>
    <w:rsid w:val="1E9F7840"/>
    <w:rsid w:val="2D482013"/>
    <w:rsid w:val="32E4188C"/>
    <w:rsid w:val="34192528"/>
    <w:rsid w:val="3C5F6A31"/>
    <w:rsid w:val="3F0F53D3"/>
    <w:rsid w:val="4CAB7F64"/>
    <w:rsid w:val="4D3E7B04"/>
    <w:rsid w:val="52AA4A52"/>
    <w:rsid w:val="5A1C6719"/>
    <w:rsid w:val="65C634F9"/>
    <w:rsid w:val="6E6F4EF6"/>
    <w:rsid w:val="76D1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2024-01-02T07:27:00Z</dcterms:created>
  <dc:creator>婷ヾ(＾。^*)</dc:creator>
  <cp:lastModifiedBy>婷ヾ(＾。^*)</cp:lastModifiedBy>
  <cp:lastPrinted>2024-01-03T02:20:00Z</cp:lastPrinted>
  <dcterms:modified xsi:type="dcterms:W3CDTF">2024-01-11T02:02:26Z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D3583B0511824D9BB03AA7DE0C1953DA_13</vt:lpwstr>
  </property>
</Properties>
</file>