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E w:val="0"/>
        <w:adjustRightInd/>
        <w:snapToGrid/>
        <w:spacing w:beforeAutospacing="0" w:afterAutospacing="0" w:line="560" w:lineRule="exact"/>
        <w:ind w:left="0" w:leftChars="0" w:right="0" w:firstLine="0"/>
        <w:jc w:val="center"/>
        <w:textAlignment w:val="auto"/>
        <w:outlineLvl w:val="9"/>
        <w:rPr>
          <w:rFonts w:hint="eastAsia" w:ascii="方正公文小标宋" w:hAnsi="方正公文小标宋" w:eastAsia="方正公文小标宋" w:cs="方正公文小标宋"/>
          <w:b w:val="0"/>
          <w:bCs w:val="0"/>
          <w:caps w:val="0"/>
          <w:color w:val="000000"/>
          <w:kern w:val="2"/>
          <w:sz w:val="44"/>
          <w:szCs w:val="44"/>
          <w:lang w:val="en-US" w:eastAsia="zh-CN" w:bidi="ar-SA"/>
        </w:rPr>
      </w:pPr>
      <w:r>
        <w:rPr>
          <w:rFonts w:hint="eastAsia" w:ascii="方正公文小标宋" w:hAnsi="方正公文小标宋" w:eastAsia="方正公文小标宋" w:cs="方正公文小标宋"/>
          <w:b w:val="0"/>
          <w:bCs w:val="0"/>
          <w:caps w:val="0"/>
          <w:color w:val="000000"/>
          <w:kern w:val="2"/>
          <w:sz w:val="44"/>
          <w:szCs w:val="44"/>
          <w:lang w:val="en-US" w:eastAsia="zh-CN" w:bidi="ar-SA"/>
        </w:rPr>
        <w:t>2023年度食品生产经营监督检查——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学生餐</w:t>
      </w:r>
      <w:bookmarkStart w:id="0" w:name="_GoBack"/>
      <w:bookmarkEnd w:id="0"/>
      <w:r>
        <w:rPr>
          <w:rFonts w:hint="eastAsia" w:ascii="方正公文小标宋" w:hAnsi="方正公文小标宋" w:eastAsia="方正公文小标宋" w:cs="方正公文小标宋"/>
          <w:sz w:val="44"/>
          <w:szCs w:val="44"/>
          <w:lang w:val="en-US" w:eastAsia="zh-CN"/>
        </w:rPr>
        <w:t>整治工作的情况汇报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学生餐食品安全监管专项整治行动开展以来，我局按照省、市局工作方针要求，成立行动专班，对辖区内获证配餐企业、校园食堂、校外托管机构、校园周边食品经营单位等相关重点领域实施全面摸排整治工作，现将工作情况汇报如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配餐监管工作</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基本情况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目前，辖区内获证配餐企业3家，在产在营2家，其中唯有黑龙江省士水餐饮管理有限公司承接学生餐供餐工作，日均承载量一万三千份左右，并通过了食品安全管理体系认证。</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开展情况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深化结合“食品安全两个责任”工作要求，督促配餐企业落实企业主体责任，建立“日管控、周排查、月调度”、“食品安全总监、食品安全员工作职责”等机制，配备食品安全总监、安全员，强化自查，查摆风险隐患；</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强化日常监督检查，建立本级集体用餐配送单位监督检查计划，开展全覆盖全项目检查，检查频率2次/周，并建立问题台账，实行销号管理。</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存在问题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自开学季以来共发现问题3项，均已整改完毕，根据问题类型归集来看，造成问题的主要原因为企业缺乏人员管理而导致的在加工、分餐、留样等重要环节存在操作不规范的行为。</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校园及周边监管工作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（一）基本情况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目前，辖区内获证校园食堂8家，其中4家为高校食堂，幼儿园32家、校外托管机构（小餐桌）18家、校园周边食品经营者308家。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（二）开展情况</w:t>
      </w:r>
    </w:p>
    <w:p>
      <w:pPr>
        <w:pStyle w:val="2"/>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是</w:t>
      </w:r>
      <w:r>
        <w:rPr>
          <w:rFonts w:hint="eastAsia" w:ascii="仿宋" w:hAnsi="仿宋" w:eastAsia="仿宋" w:cs="仿宋"/>
          <w:sz w:val="32"/>
          <w:szCs w:val="32"/>
        </w:rPr>
        <w:t>按照“五个一”（即一个问题、一名领导、一个班子、一套方案、一抓到底）的工作要求，狠抓落实</w:t>
      </w:r>
      <w:r>
        <w:rPr>
          <w:rFonts w:hint="eastAsia" w:ascii="仿宋" w:hAnsi="仿宋" w:eastAsia="仿宋" w:cs="仿宋"/>
          <w:sz w:val="32"/>
          <w:szCs w:val="32"/>
          <w:lang w:eastAsia="zh-CN"/>
        </w:rPr>
        <w:t>，</w:t>
      </w:r>
      <w:r>
        <w:rPr>
          <w:rFonts w:hint="eastAsia" w:ascii="仿宋" w:hAnsi="仿宋" w:eastAsia="仿宋" w:cs="仿宋"/>
          <w:sz w:val="32"/>
          <w:szCs w:val="32"/>
        </w:rPr>
        <w:t>按照责任分工建立项目台帐，以台帐为目标、采取整治一个、交帐一个、结帐一个的方式，实行学校及周边环境目标管理</w:t>
      </w:r>
      <w:r>
        <w:rPr>
          <w:rFonts w:hint="eastAsia" w:ascii="仿宋" w:hAnsi="仿宋" w:eastAsia="仿宋" w:cs="仿宋"/>
          <w:sz w:val="32"/>
          <w:szCs w:val="32"/>
          <w:lang w:eastAsia="zh-CN"/>
        </w:rPr>
        <w:t>；</w:t>
      </w:r>
      <w:r>
        <w:rPr>
          <w:rFonts w:hint="eastAsia" w:ascii="仿宋" w:hAnsi="仿宋" w:eastAsia="仿宋" w:cs="仿宋"/>
          <w:b/>
          <w:bCs/>
          <w:sz w:val="32"/>
          <w:szCs w:val="32"/>
        </w:rPr>
        <w:t>二是</w:t>
      </w:r>
      <w:r>
        <w:rPr>
          <w:rFonts w:hint="eastAsia" w:ascii="仿宋" w:hAnsi="仿宋" w:eastAsia="仿宋" w:cs="仿宋"/>
          <w:sz w:val="32"/>
          <w:szCs w:val="32"/>
        </w:rPr>
        <w:t>继续完善联席会议制</w:t>
      </w:r>
      <w:r>
        <w:rPr>
          <w:rFonts w:hint="eastAsia" w:ascii="仿宋" w:hAnsi="仿宋" w:eastAsia="仿宋" w:cs="仿宋"/>
          <w:sz w:val="32"/>
          <w:szCs w:val="32"/>
          <w:lang w:eastAsia="zh-CN"/>
        </w:rPr>
        <w:t>，</w:t>
      </w:r>
      <w:r>
        <w:rPr>
          <w:rFonts w:hint="eastAsia" w:ascii="仿宋" w:hAnsi="仿宋" w:eastAsia="仿宋" w:cs="仿宋"/>
          <w:sz w:val="32"/>
          <w:szCs w:val="32"/>
        </w:rPr>
        <w:t>通过定期召开联席会，对各职能部门工作进展情况集中进行调度，对久拖不决的老大难问题，统一思想，协调行动</w:t>
      </w:r>
      <w:r>
        <w:rPr>
          <w:rFonts w:hint="eastAsia" w:ascii="仿宋" w:hAnsi="仿宋" w:eastAsia="仿宋" w:cs="仿宋"/>
          <w:sz w:val="32"/>
          <w:szCs w:val="32"/>
          <w:lang w:eastAsia="zh-CN"/>
        </w:rPr>
        <w:t>；</w:t>
      </w:r>
      <w:r>
        <w:rPr>
          <w:rFonts w:hint="eastAsia" w:ascii="仿宋" w:hAnsi="仿宋" w:eastAsia="仿宋" w:cs="仿宋"/>
          <w:b/>
          <w:bCs/>
          <w:sz w:val="32"/>
          <w:szCs w:val="32"/>
        </w:rPr>
        <w:t>三是</w:t>
      </w:r>
      <w:r>
        <w:rPr>
          <w:rFonts w:hint="eastAsia" w:ascii="仿宋" w:hAnsi="仿宋" w:eastAsia="仿宋" w:cs="仿宋"/>
          <w:sz w:val="32"/>
          <w:szCs w:val="32"/>
        </w:rPr>
        <w:t>实行执法即时联动制</w:t>
      </w:r>
      <w:r>
        <w:rPr>
          <w:rFonts w:hint="eastAsia" w:ascii="仿宋" w:hAnsi="仿宋" w:eastAsia="仿宋" w:cs="仿宋"/>
          <w:sz w:val="32"/>
          <w:szCs w:val="32"/>
          <w:lang w:eastAsia="zh-CN"/>
        </w:rPr>
        <w:t>，</w:t>
      </w:r>
      <w:r>
        <w:rPr>
          <w:rFonts w:hint="eastAsia" w:ascii="仿宋" w:hAnsi="仿宋" w:eastAsia="仿宋" w:cs="仿宋"/>
          <w:sz w:val="32"/>
          <w:szCs w:val="32"/>
        </w:rPr>
        <w:t>当有关部门单独执法有困难时，要主动与相关部门联系，请求联合行动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各部门主动配合，</w:t>
      </w:r>
      <w:r>
        <w:rPr>
          <w:rFonts w:hint="eastAsia" w:ascii="仿宋" w:hAnsi="仿宋" w:eastAsia="仿宋" w:cs="仿宋"/>
          <w:sz w:val="32"/>
          <w:szCs w:val="32"/>
        </w:rPr>
        <w:t>不推诿扯皮，确保行动实效</w:t>
      </w:r>
      <w:r>
        <w:rPr>
          <w:rFonts w:hint="eastAsia" w:ascii="仿宋" w:hAnsi="仿宋" w:eastAsia="仿宋" w:cs="仿宋"/>
          <w:sz w:val="32"/>
          <w:szCs w:val="32"/>
          <w:lang w:eastAsia="zh-CN"/>
        </w:rPr>
        <w:t>；</w:t>
      </w:r>
      <w:r>
        <w:rPr>
          <w:rFonts w:hint="eastAsia" w:ascii="仿宋" w:hAnsi="仿宋" w:eastAsia="仿宋" w:cs="仿宋"/>
          <w:b/>
          <w:bCs/>
          <w:sz w:val="32"/>
          <w:szCs w:val="32"/>
        </w:rPr>
        <w:t>四是</w:t>
      </w:r>
      <w:r>
        <w:rPr>
          <w:rFonts w:hint="eastAsia" w:ascii="仿宋" w:hAnsi="仿宋" w:eastAsia="仿宋" w:cs="仿宋"/>
          <w:sz w:val="32"/>
          <w:szCs w:val="32"/>
        </w:rPr>
        <w:t>建立严格的责任追究制</w:t>
      </w:r>
      <w:r>
        <w:rPr>
          <w:rFonts w:hint="eastAsia" w:ascii="仿宋" w:hAnsi="仿宋" w:eastAsia="仿宋" w:cs="仿宋"/>
          <w:sz w:val="32"/>
          <w:szCs w:val="32"/>
          <w:lang w:eastAsia="zh-CN"/>
        </w:rPr>
        <w:t>，</w:t>
      </w:r>
      <w:r>
        <w:rPr>
          <w:rFonts w:hint="eastAsia" w:ascii="仿宋" w:hAnsi="仿宋" w:eastAsia="仿宋" w:cs="仿宋"/>
          <w:sz w:val="32"/>
          <w:szCs w:val="32"/>
        </w:rPr>
        <w:t>对工作不负责、落实不到位的要坚决追究有关单位领导和责任人的责任，对于整治后又出现反复、久治不愈的问题，师生反映强烈的问题要实行挂牌重点督办、限期整改</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五是</w:t>
      </w:r>
      <w:r>
        <w:rPr>
          <w:rFonts w:hint="eastAsia" w:ascii="仿宋" w:hAnsi="仿宋" w:eastAsia="仿宋" w:cs="仿宋"/>
          <w:b w:val="0"/>
          <w:bCs w:val="0"/>
          <w:sz w:val="32"/>
          <w:szCs w:val="32"/>
          <w:lang w:val="en-US" w:eastAsia="zh-CN"/>
        </w:rPr>
        <w:t>为“两责”包保干部提供执法支持，配合完成每季度督导检查工作，针对包保督导工作中发现的问题及时对接处置，将处置情况反馈给各级包保干部。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（三）成效及问题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1、工作成效。</w:t>
      </w:r>
      <w:r>
        <w:rPr>
          <w:rFonts w:hint="eastAsia" w:ascii="仿宋" w:hAnsi="仿宋" w:eastAsia="仿宋" w:cs="仿宋"/>
          <w:sz w:val="32"/>
          <w:szCs w:val="32"/>
          <w:lang w:val="en-US" w:eastAsia="zh-CN"/>
        </w:rPr>
        <w:t>一是通过春季校园专项检查和风险等级分级管理年度检查任务，对366家校园及周边市场主体完成检查工作，检查覆盖率100%，发现问题单位26家，发现问题28项，完成整改率100%，其中下达责令整改3起，</w:t>
      </w:r>
      <w:r>
        <w:rPr>
          <w:rFonts w:hint="eastAsia" w:ascii="仿宋" w:hAnsi="仿宋" w:eastAsia="仿宋" w:cs="仿宋"/>
          <w:sz w:val="32"/>
          <w:szCs w:val="32"/>
        </w:rPr>
        <w:t>校园周边小经营获得核准证率达到100%，被依法取缔的小经营</w:t>
      </w:r>
      <w:r>
        <w:rPr>
          <w:rFonts w:hint="eastAsia" w:ascii="仿宋" w:hAnsi="仿宋" w:eastAsia="仿宋" w:cs="仿宋"/>
          <w:sz w:val="32"/>
          <w:szCs w:val="32"/>
          <w:lang w:val="en-US" w:eastAsia="zh-CN"/>
        </w:rPr>
        <w:t>未发现</w:t>
      </w:r>
      <w:r>
        <w:rPr>
          <w:rFonts w:hint="eastAsia" w:ascii="仿宋" w:hAnsi="仿宋" w:eastAsia="仿宋" w:cs="仿宋"/>
          <w:sz w:val="32"/>
          <w:szCs w:val="32"/>
        </w:rPr>
        <w:t>再经营迹象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二是相关市场主体“两个责任”督导工作稳步推进，一季度督导检查完成率100%，二季度督导检查完成率90%，共计对接并完成问题处置11项，处置率100%。</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2、存在主要问题。</w:t>
      </w:r>
      <w:r>
        <w:rPr>
          <w:rFonts w:hint="eastAsia" w:ascii="仿宋" w:hAnsi="仿宋" w:eastAsia="仿宋" w:cs="仿宋"/>
          <w:sz w:val="32"/>
          <w:szCs w:val="32"/>
          <w:lang w:val="en-US" w:eastAsia="zh-CN"/>
        </w:rPr>
        <w:t>一是人员管理不到位，个别主体垃圾倾倒不及时、货物杂乱堆积，致使环境卫生较差；二是人员健康管理欠缺，存在健康证过期未及时补办的现象；三是小经营主体员工多数只有经营者一人，且老龄化严重，在落实企业主体责任“日管控、周排查、月调度”等制度上往往存在滞后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三、案件查办情况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年初至今，共查办校园食品安全案件2起，结案1起，办理中1起，共计罚没8000元，涉事主体均为食品小经营，涉及问题为无证经营和进货台账不齐全。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四、下步计划</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（一）强化帮扶引导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督促企业加强管理，完善相关制度，加强人员培训，加速推进落实企业主体责任常态化开展，切实有效实现自查自纠，提高履责意识，同时帮扶特色食品生产企业推动技术革新，实现安全化、特色化生产，擦亮企业名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（二）强化监管执法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局将结合现有实际情况，统筹调配监管力量，通过交叉互检等方式全力保障辖区内校园及周边食品安全各项监管任务顺利开展，同时加强食品安全监管各环节业务培训，提高执法人员专业化能力，实现全链条监管，严厉打击违法犯罪行为，</w:t>
      </w:r>
      <w:r>
        <w:rPr>
          <w:rFonts w:hint="eastAsia" w:ascii="仿宋" w:hAnsi="仿宋" w:eastAsia="仿宋" w:cs="仿宋"/>
          <w:sz w:val="32"/>
          <w:szCs w:val="32"/>
        </w:rPr>
        <w:t>提高食品经营者的食品安全意识和合法经营的理念</w:t>
      </w:r>
      <w:r>
        <w:rPr>
          <w:rFonts w:hint="eastAsia" w:ascii="仿宋" w:hAnsi="仿宋" w:eastAsia="仿宋" w:cs="仿宋"/>
          <w:sz w:val="32"/>
          <w:szCs w:val="32"/>
          <w:lang w:eastAsia="zh-CN"/>
        </w:rPr>
        <w:t>，</w:t>
      </w:r>
      <w:r>
        <w:rPr>
          <w:rFonts w:hint="eastAsia" w:ascii="仿宋" w:hAnsi="仿宋" w:eastAsia="仿宋" w:cs="仿宋"/>
          <w:sz w:val="32"/>
          <w:szCs w:val="32"/>
        </w:rPr>
        <w:t>为学校师生及周边住户饮食安全保驾护航</w:t>
      </w:r>
      <w:r>
        <w:rPr>
          <w:rFonts w:hint="eastAsia" w:ascii="仿宋" w:hAnsi="仿宋" w:eastAsia="仿宋" w:cs="仿宋"/>
          <w:sz w:val="32"/>
          <w:szCs w:val="32"/>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rPr>
          <w:rFonts w:hint="eastAsia" w:ascii="仿宋" w:hAnsi="仿宋" w:eastAsia="仿宋" w:cs="仿宋"/>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rPr>
          <w:rFonts w:hint="eastAsia" w:ascii="仿宋" w:hAnsi="仿宋" w:eastAsia="仿宋" w:cs="仿宋"/>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rPr>
          <w:rFonts w:hint="eastAsia" w:ascii="仿宋" w:hAnsi="仿宋" w:eastAsia="仿宋" w:cs="仿宋"/>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佳木斯市前进区市场监督管理局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0" w:lineRule="exact"/>
        <w:ind w:left="0" w:leftChars="0" w:right="0" w:firstLine="4800" w:firstLineChars="15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2023年6月19日</w:t>
      </w:r>
    </w:p>
    <w:p>
      <w:pPr>
        <w:numPr>
          <w:ilvl w:val="0"/>
          <w:numId w:val="0"/>
        </w:num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E6D635-CE3A-4812-8339-1C35D5733F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15D5D185-74E3-408E-A6CE-852BB45708B5}"/>
  </w:font>
  <w:font w:name="方正公文小标宋">
    <w:panose1 w:val="02000500000000000000"/>
    <w:charset w:val="86"/>
    <w:family w:val="auto"/>
    <w:pitch w:val="default"/>
    <w:sig w:usb0="A00002BF" w:usb1="38CF7CFA" w:usb2="00000016" w:usb3="00000000" w:csb0="00040001" w:csb1="00000000"/>
    <w:embedRegular r:id="rId3" w:fontKey="{867C6914-9699-421B-82E1-1CCE5361181F}"/>
  </w:font>
  <w:font w:name="仿宋">
    <w:panose1 w:val="02010609060101010101"/>
    <w:charset w:val="86"/>
    <w:family w:val="auto"/>
    <w:pitch w:val="default"/>
    <w:sig w:usb0="800002BF" w:usb1="38CF7CFA" w:usb2="00000016" w:usb3="00000000" w:csb0="00040001" w:csb1="00000000"/>
    <w:embedRegular r:id="rId4" w:fontKey="{C6043414-7580-4EA4-9D14-C9D517E848F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21E7F"/>
    <w:multiLevelType w:val="singleLevel"/>
    <w:tmpl w:val="31C21E7F"/>
    <w:lvl w:ilvl="0" w:tentative="0">
      <w:start w:val="1"/>
      <w:numFmt w:val="chineseCounting"/>
      <w:suff w:val="nothing"/>
      <w:lvlText w:val="（%1）"/>
      <w:lvlJc w:val="left"/>
      <w:rPr>
        <w:rFonts w:hint="eastAsia"/>
      </w:rPr>
    </w:lvl>
  </w:abstractNum>
  <w:abstractNum w:abstractNumId="1">
    <w:nsid w:val="4D80C9E7"/>
    <w:multiLevelType w:val="singleLevel"/>
    <w:tmpl w:val="4D80C9E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MDk1ZWY5YWYzOTAzZGI1OThiNDE0NTU1NTk1ODkifQ=="/>
  </w:docVars>
  <w:rsids>
    <w:rsidRoot w:val="778F545F"/>
    <w:rsid w:val="053A5CEC"/>
    <w:rsid w:val="0DEF71E2"/>
    <w:rsid w:val="778F5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9"/>
    <w:pPr>
      <w:widowControl w:val="0"/>
      <w:spacing w:beforeAutospacing="0" w:afterAutospacing="0"/>
      <w:ind w:firstLine="880" w:firstLineChars="200"/>
      <w:jc w:val="both"/>
      <w:outlineLvl w:val="2"/>
    </w:pPr>
    <w:rPr>
      <w:rFonts w:hint="eastAsia" w:ascii="宋体" w:hAnsi="宋体" w:eastAsia="楷体" w:cs="Times New Roman"/>
      <w:sz w:val="32"/>
      <w:szCs w:val="18"/>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1160</Words>
  <Characters>1186</Characters>
  <Lines>0</Lines>
  <Paragraphs>0</Paragraphs>
  <TotalTime>0</TotalTime>
  <ScaleCrop>false</ScaleCrop>
  <LinksUpToDate>false</LinksUpToDate>
  <CharactersWithSpaces>1186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2023-06-19T01:29:00Z</dcterms:created>
  <dc:creator>侯达。</dc:creator>
  <cp:lastModifiedBy>侯达。</cp:lastModifiedBy>
  <dcterms:modified xsi:type="dcterms:W3CDTF">2024-02-01T07:05:04Z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4ABA1BE146584248BFE95D1E4AB666B0_11</vt:lpwstr>
  </property>
</Properties>
</file>