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bookmarkStart w:id="0" w:name="_GoBack"/>
      <w:bookmarkEnd w:id="0"/>
      <w:r>
        <w:rPr>
          <w:rFonts w:hint="eastAsia" w:ascii="宋体" w:hAnsi="宋体" w:eastAsia="宋体"/>
          <w:b/>
          <w:bCs/>
          <w:sz w:val="44"/>
          <w:szCs w:val="44"/>
        </w:rPr>
        <w:t>前进区城市管理局2023年度法治政府建设工作报告</w:t>
      </w:r>
    </w:p>
    <w:p>
      <w:pPr>
        <w:jc w:val="center"/>
        <w:rPr>
          <w:rFonts w:ascii="宋体" w:hAnsi="宋体" w:eastAsia="宋体"/>
          <w:b/>
          <w:bCs/>
          <w:sz w:val="44"/>
          <w:szCs w:val="44"/>
        </w:rPr>
      </w:pPr>
    </w:p>
    <w:p>
      <w:pPr>
        <w:pStyle w:val="6"/>
        <w:shd w:val="clear" w:color="auto" w:fill="FFFFFF"/>
        <w:spacing w:before="0" w:beforeAutospacing="0" w:after="0" w:afterAutospacing="0" w:line="539" w:lineRule="atLeast"/>
        <w:ind w:firstLine="641"/>
        <w:jc w:val="both"/>
        <w:rPr>
          <w:rFonts w:hint="eastAsia" w:ascii="仿宋_GB2312" w:hAnsi="sinsum" w:eastAsia="仿宋_GB2312"/>
          <w:color w:val="333333"/>
          <w:sz w:val="32"/>
          <w:szCs w:val="32"/>
        </w:rPr>
      </w:pPr>
      <w:r>
        <w:rPr>
          <w:rFonts w:ascii="仿宋_GB2312" w:hAnsi="Calibri" w:eastAsia="仿宋_GB2312" w:cs="Calibri"/>
          <w:color w:val="333333"/>
          <w:sz w:val="32"/>
          <w:szCs w:val="32"/>
        </w:rPr>
        <w:t>2023年,区城管局在区委、区政府的正确领导下，坚持以习近平新时代中国特色社会主义思想为指导，全面贯彻落实党的二十大精神和习近平法治思想，深入落实“八五”普法规划，不断增强全局干部职工法治意识，</w:t>
      </w:r>
      <w:r>
        <w:rPr>
          <w:rFonts w:hint="eastAsia" w:ascii="仿宋_GB2312" w:hAnsi="sinsum" w:eastAsia="仿宋_GB2312"/>
          <w:color w:val="333333"/>
          <w:sz w:val="32"/>
          <w:szCs w:val="32"/>
        </w:rPr>
        <w:t>着力完善城市治理体系，提升城市治理效能，切实推进法治政府建设。现将我局</w:t>
      </w:r>
      <w:r>
        <w:rPr>
          <w:rFonts w:hint="eastAsia" w:ascii="仿宋_GB2312" w:hAnsi="Calibri" w:eastAsia="仿宋_GB2312" w:cs="Calibri"/>
          <w:color w:val="333333"/>
          <w:sz w:val="32"/>
          <w:szCs w:val="32"/>
        </w:rPr>
        <w:t>2023</w:t>
      </w:r>
      <w:r>
        <w:rPr>
          <w:rFonts w:hint="eastAsia" w:ascii="仿宋_GB2312" w:hAnsi="sinsum" w:eastAsia="仿宋_GB2312"/>
          <w:color w:val="333333"/>
          <w:sz w:val="32"/>
          <w:szCs w:val="32"/>
        </w:rPr>
        <w:t>年度法治政府建设工作情况报告如下：</w:t>
      </w:r>
    </w:p>
    <w:p>
      <w:pPr>
        <w:pStyle w:val="6"/>
        <w:shd w:val="clear" w:color="auto" w:fill="FFFFFF"/>
        <w:spacing w:before="0" w:beforeAutospacing="0" w:after="0" w:afterAutospacing="0" w:line="539" w:lineRule="atLeast"/>
        <w:ind w:firstLine="641"/>
        <w:jc w:val="both"/>
        <w:rPr>
          <w:rFonts w:ascii="黑体" w:hAnsi="黑体" w:eastAsia="黑体"/>
          <w:b/>
          <w:color w:val="333333"/>
          <w:sz w:val="32"/>
          <w:szCs w:val="32"/>
        </w:rPr>
      </w:pPr>
      <w:r>
        <w:rPr>
          <w:rFonts w:hint="eastAsia" w:ascii="黑体" w:hAnsi="黑体" w:eastAsia="黑体"/>
          <w:b/>
          <w:color w:val="333333"/>
          <w:sz w:val="32"/>
          <w:szCs w:val="32"/>
        </w:rPr>
        <w:t>一、主要做法及成效</w:t>
      </w:r>
    </w:p>
    <w:p>
      <w:pPr>
        <w:pStyle w:val="6"/>
        <w:shd w:val="clear" w:color="auto" w:fill="FFFFFF"/>
        <w:spacing w:before="0" w:beforeAutospacing="0" w:after="0" w:afterAutospacing="0" w:line="539" w:lineRule="atLeast"/>
        <w:ind w:firstLine="641"/>
        <w:jc w:val="both"/>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一是加强组织领导，严格落实法治建设主体责任。</w:t>
      </w:r>
      <w:r>
        <w:rPr>
          <w:rFonts w:hint="eastAsia" w:ascii="仿宋" w:hAnsi="仿宋" w:eastAsia="仿宋"/>
          <w:color w:val="000000" w:themeColor="text1"/>
          <w:sz w:val="32"/>
          <w:szCs w:val="32"/>
          <w14:textFill>
            <w14:solidFill>
              <w14:schemeClr w14:val="tx1"/>
            </w14:solidFill>
          </w14:textFill>
        </w:rPr>
        <w:t>我局成立了由局长任组长、分管领导任副组长，各科室及工作站负责人为成员的法治建设工作领导小组，形成局局班子集体研究、主要领导亲自部署、分管领导具体负责、业务科室专门办理、其他部门全力配合的依法行政工作领导机制。主要领导严格落实法治建设工作第一责任人责任，全年听取依法行政工作汇报</w:t>
      </w:r>
      <w:r>
        <w:rPr>
          <w:rFonts w:ascii="仿宋" w:hAnsi="仿宋" w:eastAsia="仿宋"/>
          <w:color w:val="000000" w:themeColor="text1"/>
          <w:sz w:val="32"/>
          <w:szCs w:val="32"/>
          <w14:textFill>
            <w14:solidFill>
              <w14:schemeClr w14:val="tx1"/>
            </w14:solidFill>
          </w14:textFill>
        </w:rPr>
        <w:t>4次，切实做到重大案件亲自部署、亲自过问，重要环节亲自协调、亲自督办，同时与分管领导主动研究具体执法事项10余次。带头认真履行法治建设重要组织者、推动者和实践者职责。建立健全重大行政处罚事项集中讨论决</w:t>
      </w:r>
      <w:r>
        <w:rPr>
          <w:rFonts w:hint="eastAsia" w:ascii="仿宋" w:hAnsi="仿宋" w:eastAsia="仿宋"/>
          <w:color w:val="000000" w:themeColor="text1"/>
          <w:sz w:val="32"/>
          <w:szCs w:val="32"/>
          <w14:textFill>
            <w14:solidFill>
              <w14:schemeClr w14:val="tx1"/>
            </w14:solidFill>
          </w14:textFill>
        </w:rPr>
        <w:t>定制度，特别是行政处罚案件中罚款数额较大和复杂疑难的案件，作出行政处罚决定之前，将案件提交“三重一大”会议研究，确保每一个案件法律依据正确、证据充分、程序合法、处罚适当。</w:t>
      </w:r>
    </w:p>
    <w:p>
      <w:pPr>
        <w:pStyle w:val="6"/>
        <w:shd w:val="clear" w:color="auto" w:fill="FFFFFF"/>
        <w:spacing w:before="0" w:beforeAutospacing="0" w:after="0" w:afterAutospacing="0" w:line="539" w:lineRule="atLeast"/>
        <w:ind w:firstLine="641"/>
        <w:jc w:val="both"/>
        <w:rPr>
          <w:rFonts w:ascii="仿宋" w:hAnsi="仿宋" w:eastAsia="仿宋"/>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二是完善执法制度，规范执法行为。</w:t>
      </w:r>
      <w:r>
        <w:rPr>
          <w:rFonts w:hint="eastAsia" w:ascii="仿宋" w:hAnsi="仿宋" w:eastAsia="仿宋"/>
          <w:b/>
          <w:bCs/>
          <w:color w:val="000000" w:themeColor="text1"/>
          <w:sz w:val="32"/>
          <w:szCs w:val="32"/>
          <w14:textFill>
            <w14:solidFill>
              <w14:schemeClr w14:val="tx1"/>
            </w14:solidFill>
          </w14:textFill>
        </w:rPr>
        <w:t>一是</w:t>
      </w:r>
      <w:r>
        <w:rPr>
          <w:rFonts w:hint="eastAsia" w:ascii="仿宋" w:hAnsi="仿宋" w:eastAsia="仿宋"/>
          <w:color w:val="000000" w:themeColor="text1"/>
          <w:sz w:val="32"/>
          <w:szCs w:val="32"/>
          <w14:textFill>
            <w14:solidFill>
              <w14:schemeClr w14:val="tx1"/>
            </w14:solidFill>
          </w14:textFill>
        </w:rPr>
        <w:t>从严落实“三项制度”。对行政执法启动、调查取证、审核决定、送达执行等过程中实现全过程记录，视频记录与文字记录做到相互补充。</w:t>
      </w:r>
      <w:r>
        <w:rPr>
          <w:rFonts w:hint="eastAsia" w:ascii="仿宋" w:hAnsi="仿宋" w:eastAsia="仿宋"/>
          <w:b/>
          <w:bCs/>
          <w:color w:val="000000" w:themeColor="text1"/>
          <w:sz w:val="32"/>
          <w:szCs w:val="32"/>
          <w14:textFill>
            <w14:solidFill>
              <w14:schemeClr w14:val="tx1"/>
            </w14:solidFill>
          </w14:textFill>
        </w:rPr>
        <w:t>二是</w:t>
      </w:r>
      <w:r>
        <w:rPr>
          <w:rFonts w:hint="eastAsia" w:ascii="仿宋" w:hAnsi="仿宋" w:eastAsia="仿宋"/>
          <w:color w:val="000000" w:themeColor="text1"/>
          <w:sz w:val="32"/>
          <w:szCs w:val="32"/>
          <w14:textFill>
            <w14:solidFill>
              <w14:schemeClr w14:val="tx1"/>
            </w14:solidFill>
          </w14:textFill>
        </w:rPr>
        <w:t>行政许可及行政处罚案卷制作质量进一步提升和规范。今年，所有的行政许可及行政处罚案卷经市案卷评查全部合格。</w:t>
      </w:r>
      <w:r>
        <w:rPr>
          <w:rFonts w:hint="eastAsia" w:ascii="仿宋" w:hAnsi="仿宋" w:eastAsia="仿宋"/>
          <w:b/>
          <w:bCs/>
          <w:color w:val="000000" w:themeColor="text1"/>
          <w:sz w:val="32"/>
          <w:szCs w:val="32"/>
          <w14:textFill>
            <w14:solidFill>
              <w14:schemeClr w14:val="tx1"/>
            </w14:solidFill>
          </w14:textFill>
        </w:rPr>
        <w:t>三是</w:t>
      </w:r>
      <w:r>
        <w:rPr>
          <w:rFonts w:hint="eastAsia" w:ascii="仿宋" w:hAnsi="仿宋" w:eastAsia="仿宋"/>
          <w:color w:val="000000" w:themeColor="text1"/>
          <w:sz w:val="32"/>
          <w:szCs w:val="32"/>
          <w14:textFill>
            <w14:solidFill>
              <w14:schemeClr w14:val="tx1"/>
            </w14:solidFill>
          </w14:textFill>
        </w:rPr>
        <w:t>抓法制培训，提升执法队员履职能力。我局采用线上及线下培训方式，共开展了</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次培训，共计培训120余人次，全面提升了执法人员的专业素养，不断推进队伍执法能力全面提升。</w:t>
      </w:r>
      <w:r>
        <w:rPr>
          <w:rFonts w:hint="eastAsia" w:ascii="仿宋" w:hAnsi="仿宋" w:eastAsia="仿宋"/>
          <w:b/>
          <w:color w:val="000000" w:themeColor="text1"/>
          <w:sz w:val="32"/>
          <w:szCs w:val="32"/>
          <w14:textFill>
            <w14:solidFill>
              <w14:schemeClr w14:val="tx1"/>
            </w14:solidFill>
          </w14:textFill>
        </w:rPr>
        <w:t>四是</w:t>
      </w:r>
      <w:r>
        <w:rPr>
          <w:rFonts w:hint="eastAsia" w:ascii="仿宋" w:hAnsi="仿宋" w:eastAsia="仿宋"/>
          <w:color w:val="000000" w:themeColor="text1"/>
          <w:sz w:val="32"/>
          <w:szCs w:val="32"/>
          <w14:textFill>
            <w14:solidFill>
              <w14:schemeClr w14:val="tx1"/>
            </w14:solidFill>
          </w14:textFill>
        </w:rPr>
        <w:t>积极发挥法律顾问作用。今年，我局继续发挥专业法律顾问的作用，协助我局在行政复议、行政应诉等方面发挥积极作用，维护我局在相关行政、民事活动中的合法权益。</w:t>
      </w:r>
    </w:p>
    <w:p>
      <w:pPr>
        <w:pStyle w:val="6"/>
        <w:shd w:val="clear" w:color="auto" w:fill="FFFFFF"/>
        <w:spacing w:before="0" w:beforeAutospacing="0" w:after="0" w:afterAutospacing="0" w:line="539" w:lineRule="atLeast"/>
        <w:ind w:firstLine="641"/>
        <w:jc w:val="both"/>
        <w:rPr>
          <w:rFonts w:ascii="仿宋" w:hAnsi="仿宋" w:eastAsia="仿宋"/>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三是坚持依法行政，优化营商环境。</w:t>
      </w:r>
      <w:r>
        <w:rPr>
          <w:rFonts w:hint="eastAsia" w:ascii="仿宋" w:hAnsi="仿宋" w:eastAsia="仿宋"/>
          <w:b/>
          <w:color w:val="000000" w:themeColor="text1"/>
          <w:sz w:val="32"/>
          <w:szCs w:val="32"/>
          <w14:textFill>
            <w14:solidFill>
              <w14:schemeClr w14:val="tx1"/>
            </w14:solidFill>
          </w14:textFill>
        </w:rPr>
        <w:t>一是</w:t>
      </w:r>
      <w:r>
        <w:rPr>
          <w:rFonts w:hint="eastAsia" w:ascii="仿宋" w:hAnsi="仿宋" w:eastAsia="仿宋"/>
          <w:color w:val="000000" w:themeColor="text1"/>
          <w:sz w:val="32"/>
          <w:szCs w:val="32"/>
          <w14:textFill>
            <w14:solidFill>
              <w14:schemeClr w14:val="tx1"/>
            </w14:solidFill>
          </w14:textFill>
        </w:rPr>
        <w:t>深化行政审批制度改革。围绕行政审批标准化要求，通过公示标准化工作规程和办事指南，落实“不见面审批”事项的清单公布、实现方式、基本流程、申请材料、办理时限、缴纳费用等六个统一。围绕“简政便民”要求，实行一次告知、一表申请，全面推行“网上办”“马上办”“就近办”，把“只进一个门、最多跑一腿”的“一站式”服务机制引向深入。</w:t>
      </w:r>
      <w:r>
        <w:rPr>
          <w:rFonts w:hint="eastAsia" w:ascii="仿宋" w:hAnsi="仿宋" w:eastAsia="仿宋"/>
          <w:b/>
          <w:color w:val="000000" w:themeColor="text1"/>
          <w:sz w:val="32"/>
          <w:szCs w:val="32"/>
          <w14:textFill>
            <w14:solidFill>
              <w14:schemeClr w14:val="tx1"/>
            </w14:solidFill>
          </w14:textFill>
        </w:rPr>
        <w:t>二是</w:t>
      </w:r>
      <w:r>
        <w:rPr>
          <w:rFonts w:hint="eastAsia" w:ascii="仿宋" w:hAnsi="仿宋" w:eastAsia="仿宋"/>
          <w:color w:val="000000" w:themeColor="text1"/>
          <w:sz w:val="32"/>
          <w:szCs w:val="32"/>
          <w14:textFill>
            <w14:solidFill>
              <w14:schemeClr w14:val="tx1"/>
            </w14:solidFill>
          </w14:textFill>
        </w:rPr>
        <w:t>严格按照“轻微违法免罚”制度，以人为本，灵活运用不同执法方式，多做沟通、说服、引导、教育、告诫工作，采取指导、奖励、扶助、调解等非强制行政手段，引导当事人自觉遵守法律、法规。在对重大案件或是问题突出的场所开展治理后，坚持做好事后巡查监管工作，防止问题重复发生或是乱象回潮。</w:t>
      </w:r>
    </w:p>
    <w:p>
      <w:pPr>
        <w:pStyle w:val="6"/>
        <w:shd w:val="clear" w:color="auto" w:fill="FFFFFF"/>
        <w:spacing w:before="0" w:beforeAutospacing="0" w:after="0" w:afterAutospacing="0" w:line="539" w:lineRule="atLeast"/>
        <w:ind w:firstLine="641"/>
        <w:jc w:val="both"/>
        <w:rPr>
          <w:rFonts w:ascii="仿宋" w:hAnsi="仿宋" w:eastAsia="仿宋"/>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四是强化普法宣传，营造良好氛围。</w:t>
      </w:r>
      <w:r>
        <w:rPr>
          <w:rFonts w:hint="eastAsia" w:ascii="仿宋" w:hAnsi="仿宋" w:eastAsia="仿宋"/>
          <w:color w:val="000000" w:themeColor="text1"/>
          <w:sz w:val="32"/>
          <w:szCs w:val="32"/>
          <w14:textFill>
            <w14:solidFill>
              <w14:schemeClr w14:val="tx1"/>
            </w14:solidFill>
          </w14:textFill>
        </w:rPr>
        <w:t>全面落实“八五”普法规划及“谁执法、谁普法”责任制，印发年度普法责任清单和普法依法治理工作要点。</w:t>
      </w:r>
      <w:r>
        <w:rPr>
          <w:rFonts w:hint="eastAsia" w:ascii="仿宋" w:hAnsi="仿宋" w:eastAsia="仿宋"/>
          <w:b/>
          <w:color w:val="000000" w:themeColor="text1"/>
          <w:sz w:val="32"/>
          <w:szCs w:val="32"/>
          <w14:textFill>
            <w14:solidFill>
              <w14:schemeClr w14:val="tx1"/>
            </w14:solidFill>
          </w14:textFill>
        </w:rPr>
        <w:t>一是</w:t>
      </w:r>
      <w:r>
        <w:rPr>
          <w:rFonts w:hint="eastAsia" w:ascii="仿宋" w:hAnsi="仿宋" w:eastAsia="仿宋"/>
          <w:color w:val="000000" w:themeColor="text1"/>
          <w:sz w:val="32"/>
          <w:szCs w:val="32"/>
          <w14:textFill>
            <w14:solidFill>
              <w14:schemeClr w14:val="tx1"/>
            </w14:solidFill>
          </w14:textFill>
        </w:rPr>
        <w:t>推行以案释法制度。将普法纳入全局干部职工的日常工作内容，充分发挥职能优势，利用开展日常执法工作的机会向服务对象宣传城市管理方面的法律法规等，切实扩大普法的宣传面和宣传力度。</w:t>
      </w:r>
      <w:r>
        <w:rPr>
          <w:rFonts w:hint="eastAsia" w:ascii="仿宋" w:hAnsi="仿宋" w:eastAsia="仿宋"/>
          <w:b/>
          <w:color w:val="000000" w:themeColor="text1"/>
          <w:sz w:val="32"/>
          <w:szCs w:val="32"/>
          <w14:textFill>
            <w14:solidFill>
              <w14:schemeClr w14:val="tx1"/>
            </w14:solidFill>
          </w14:textFill>
        </w:rPr>
        <w:t>二是</w:t>
      </w:r>
      <w:r>
        <w:rPr>
          <w:rFonts w:hint="eastAsia" w:ascii="仿宋" w:hAnsi="仿宋" w:eastAsia="仿宋"/>
          <w:color w:val="000000" w:themeColor="text1"/>
          <w:sz w:val="32"/>
          <w:szCs w:val="32"/>
          <w14:textFill>
            <w14:solidFill>
              <w14:schemeClr w14:val="tx1"/>
            </w14:solidFill>
          </w14:textFill>
        </w:rPr>
        <w:t>积极开展线下普法。为全面提升城市精细化管理水平</w:t>
      </w:r>
      <w:r>
        <w:rPr>
          <w:rFonts w:ascii="仿宋" w:hAnsi="仿宋" w:eastAsia="仿宋"/>
          <w:color w:val="000000" w:themeColor="text1"/>
          <w:sz w:val="32"/>
          <w:szCs w:val="32"/>
          <w14:textFill>
            <w14:solidFill>
              <w14:schemeClr w14:val="tx1"/>
            </w14:solidFill>
          </w14:textFill>
        </w:rPr>
        <w:t>,着力解决群众关注的城市管理热点难点问题,结合《民法典》宣传月、宪法宣传周等普法活动，多次走进社区、广场、企业宣传相关的法律法规。今年以来共开展城市管理法律法规宣传活动 10</w:t>
      </w:r>
      <w:r>
        <w:rPr>
          <w:rFonts w:hint="eastAsia" w:ascii="仿宋" w:hAnsi="仿宋" w:eastAsia="仿宋"/>
          <w:color w:val="000000" w:themeColor="text1"/>
          <w:sz w:val="32"/>
          <w:szCs w:val="32"/>
          <w14:textFill>
            <w14:solidFill>
              <w14:schemeClr w14:val="tx1"/>
            </w14:solidFill>
          </w14:textFill>
        </w:rPr>
        <w:t>余</w:t>
      </w:r>
      <w:r>
        <w:rPr>
          <w:rFonts w:ascii="仿宋" w:hAnsi="仿宋" w:eastAsia="仿宋"/>
          <w:color w:val="000000" w:themeColor="text1"/>
          <w:sz w:val="32"/>
          <w:szCs w:val="32"/>
          <w14:textFill>
            <w14:solidFill>
              <w14:schemeClr w14:val="tx1"/>
            </w14:solidFill>
          </w14:textFill>
        </w:rPr>
        <w:t>次，发放法律</w:t>
      </w:r>
      <w:r>
        <w:rPr>
          <w:rFonts w:hint="eastAsia" w:ascii="仿宋" w:hAnsi="仿宋" w:eastAsia="仿宋"/>
          <w:color w:val="000000" w:themeColor="text1"/>
          <w:sz w:val="32"/>
          <w:szCs w:val="32"/>
          <w14:textFill>
            <w14:solidFill>
              <w14:schemeClr w14:val="tx1"/>
            </w14:solidFill>
          </w14:textFill>
        </w:rPr>
        <w:t>法规宣传单50</w:t>
      </w:r>
      <w:r>
        <w:rPr>
          <w:rFonts w:ascii="仿宋" w:hAnsi="仿宋" w:eastAsia="仿宋"/>
          <w:color w:val="000000" w:themeColor="text1"/>
          <w:sz w:val="32"/>
          <w:szCs w:val="32"/>
          <w14:textFill>
            <w14:solidFill>
              <w14:schemeClr w14:val="tx1"/>
            </w14:solidFill>
          </w14:textFill>
        </w:rPr>
        <w:t>00余份。</w:t>
      </w:r>
      <w:r>
        <w:rPr>
          <w:rFonts w:ascii="仿宋" w:hAnsi="仿宋" w:eastAsia="仿宋"/>
          <w:b/>
          <w:color w:val="000000" w:themeColor="text1"/>
          <w:sz w:val="32"/>
          <w:szCs w:val="32"/>
          <w14:textFill>
            <w14:solidFill>
              <w14:schemeClr w14:val="tx1"/>
            </w14:solidFill>
          </w14:textFill>
        </w:rPr>
        <w:t>三是</w:t>
      </w:r>
      <w:r>
        <w:rPr>
          <w:rFonts w:ascii="仿宋" w:hAnsi="仿宋" w:eastAsia="仿宋"/>
          <w:color w:val="000000" w:themeColor="text1"/>
          <w:sz w:val="32"/>
          <w:szCs w:val="32"/>
          <w14:textFill>
            <w14:solidFill>
              <w14:schemeClr w14:val="tx1"/>
            </w14:solidFill>
          </w14:textFill>
        </w:rPr>
        <w:t>持续推进线上普法。以微信公众号、宣传栏、电子显示屏为载体，刊登播出主题法治宣传教育内容，开展法律法规宣传，抓牢法治宣传教育进网络阵地，充分运用好微信等新媒体，营造尊法学法守法用法的浓厚氛围，引导广大群众自觉守法、遇事找法、解决问题靠法。</w:t>
      </w:r>
    </w:p>
    <w:p>
      <w:pPr>
        <w:pStyle w:val="6"/>
        <w:shd w:val="clear" w:color="auto" w:fill="FFFFFF"/>
        <w:spacing w:before="0" w:beforeAutospacing="0" w:after="0" w:afterAutospacing="0" w:line="539" w:lineRule="atLeast"/>
        <w:ind w:firstLine="641"/>
        <w:jc w:val="both"/>
        <w:rPr>
          <w:rFonts w:ascii="黑体" w:hAnsi="黑体" w:eastAsia="黑体" w:cs="Times New Roman"/>
          <w:b/>
          <w:bCs/>
          <w:sz w:val="32"/>
          <w:szCs w:val="32"/>
        </w:rPr>
      </w:pPr>
      <w:r>
        <w:rPr>
          <w:rFonts w:hint="eastAsia" w:ascii="黑体" w:hAnsi="黑体" w:eastAsia="黑体" w:cs="Times New Roman"/>
          <w:b/>
          <w:bCs/>
          <w:sz w:val="32"/>
          <w:szCs w:val="32"/>
        </w:rPr>
        <w:t>二、存在的问题及不足</w:t>
      </w:r>
    </w:p>
    <w:p>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r>
        <w:rPr>
          <w:rFonts w:hint="eastAsia" w:ascii="仿宋" w:hAnsi="仿宋" w:eastAsia="仿宋" w:cs="Times New Roman"/>
          <w:sz w:val="32"/>
          <w:szCs w:val="32"/>
        </w:rPr>
        <w:t>一年来，我局的法治政府建设工作取得了一定的成效，但也存在一些薄弱环节：</w:t>
      </w:r>
      <w:r>
        <w:rPr>
          <w:rFonts w:hint="eastAsia" w:ascii="仿宋" w:hAnsi="仿宋" w:eastAsia="仿宋" w:cs="Times New Roman"/>
          <w:b/>
          <w:bCs/>
          <w:sz w:val="32"/>
          <w:szCs w:val="32"/>
        </w:rPr>
        <w:t>一是</w:t>
      </w:r>
      <w:r>
        <w:rPr>
          <w:rFonts w:hint="eastAsia" w:ascii="仿宋" w:hAnsi="仿宋" w:eastAsia="仿宋" w:cs="Times New Roman"/>
          <w:sz w:val="32"/>
          <w:szCs w:val="32"/>
        </w:rPr>
        <w:t>普法阵地建设不够完善，宣传方式、宣传途径、宣传工具还是停留在传统的方式上，不够创新。</w:t>
      </w:r>
      <w:r>
        <w:rPr>
          <w:rFonts w:hint="eastAsia" w:ascii="仿宋" w:hAnsi="仿宋" w:eastAsia="仿宋" w:cs="Times New Roman"/>
          <w:b/>
          <w:bCs/>
          <w:sz w:val="32"/>
          <w:szCs w:val="32"/>
        </w:rPr>
        <w:t>二是</w:t>
      </w:r>
      <w:r>
        <w:rPr>
          <w:rFonts w:hint="eastAsia" w:ascii="仿宋" w:hAnsi="仿宋" w:eastAsia="仿宋" w:cs="Times New Roman"/>
          <w:sz w:val="32"/>
          <w:szCs w:val="32"/>
        </w:rPr>
        <w:t>干部学习内容不够广泛，不应局限于岗位业务培训，应进一步提高执法人员的政治业务素质及职业道德建设。</w:t>
      </w:r>
      <w:r>
        <w:rPr>
          <w:rFonts w:hint="eastAsia" w:ascii="仿宋" w:hAnsi="仿宋" w:eastAsia="仿宋" w:cs="Times New Roman"/>
          <w:b/>
          <w:bCs/>
          <w:sz w:val="32"/>
          <w:szCs w:val="32"/>
        </w:rPr>
        <w:t>三是</w:t>
      </w:r>
      <w:r>
        <w:rPr>
          <w:rFonts w:hint="eastAsia" w:ascii="仿宋" w:hAnsi="仿宋" w:eastAsia="仿宋" w:cs="Times New Roman"/>
          <w:sz w:val="32"/>
          <w:szCs w:val="32"/>
        </w:rPr>
        <w:t>单位内部缺少法学类专业人员，对法律法规及各类政策不能流畅自如的运用。</w:t>
      </w:r>
    </w:p>
    <w:p>
      <w:pPr>
        <w:pStyle w:val="6"/>
        <w:shd w:val="clear" w:color="auto" w:fill="FFFFFF"/>
        <w:spacing w:before="0" w:beforeAutospacing="0" w:after="0" w:afterAutospacing="0" w:line="539" w:lineRule="atLeast"/>
        <w:ind w:firstLine="641"/>
        <w:jc w:val="both"/>
        <w:rPr>
          <w:rFonts w:ascii="黑体" w:hAnsi="黑体" w:eastAsia="黑体" w:cs="Times New Roman"/>
          <w:b/>
          <w:bCs/>
          <w:sz w:val="32"/>
          <w:szCs w:val="32"/>
        </w:rPr>
      </w:pPr>
      <w:r>
        <w:rPr>
          <w:rFonts w:hint="eastAsia" w:ascii="黑体" w:hAnsi="黑体" w:eastAsia="黑体" w:cs="Times New Roman"/>
          <w:b/>
          <w:bCs/>
          <w:sz w:val="32"/>
          <w:szCs w:val="32"/>
        </w:rPr>
        <w:t>三、下一步工作打算</w:t>
      </w:r>
    </w:p>
    <w:p>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r>
        <w:rPr>
          <w:rFonts w:ascii="Calibri" w:hAnsi="Calibri" w:eastAsia="仿宋" w:cs="Calibri"/>
          <w:sz w:val="32"/>
          <w:szCs w:val="32"/>
        </w:rPr>
        <w:t> </w:t>
      </w:r>
      <w:r>
        <w:rPr>
          <w:rFonts w:hint="eastAsia" w:ascii="仿宋" w:hAnsi="仿宋" w:eastAsia="仿宋" w:cs="Times New Roman"/>
          <w:sz w:val="32"/>
          <w:szCs w:val="32"/>
        </w:rPr>
        <w:t>2024年，区城管局将持续深入贯彻落实党的二十大精神，以习近平新时代中国特色社会主义思想为指导，按照区委区政府决策部署，认真贯彻城市管理各项要求，稳步推进法治政府建设工作。</w:t>
      </w:r>
    </w:p>
    <w:p>
      <w:pPr>
        <w:pStyle w:val="6"/>
        <w:shd w:val="clear" w:color="auto" w:fill="FFFFFF"/>
        <w:spacing w:before="0" w:beforeAutospacing="0" w:after="0" w:afterAutospacing="0" w:line="539" w:lineRule="atLeast"/>
        <w:ind w:firstLine="641"/>
        <w:jc w:val="both"/>
        <w:rPr>
          <w:rFonts w:hint="eastAsia" w:ascii="仿宋" w:hAnsi="仿宋" w:eastAsia="仿宋" w:cs="Times New Roman"/>
          <w:sz w:val="32"/>
          <w:szCs w:val="32"/>
        </w:rPr>
      </w:pPr>
      <w:r>
        <w:rPr>
          <w:rFonts w:hint="eastAsia" w:ascii="仿宋" w:hAnsi="仿宋" w:eastAsia="仿宋" w:cs="Times New Roman"/>
          <w:b/>
          <w:bCs/>
          <w:sz w:val="32"/>
          <w:szCs w:val="32"/>
        </w:rPr>
        <w:t>一是</w:t>
      </w:r>
      <w:r>
        <w:rPr>
          <w:rFonts w:hint="eastAsia" w:ascii="仿宋" w:hAnsi="仿宋" w:eastAsia="仿宋" w:cs="Times New Roman"/>
          <w:sz w:val="32"/>
          <w:szCs w:val="32"/>
        </w:rPr>
        <w:t>加强队伍建设，提高执法水平，加大对执法人员的培训力度，组织开展实效实用的法律法规培训，完善全过程记录制度，定期抽查执法人员执法情况，确保公正执法、廉洁执法。</w:t>
      </w:r>
    </w:p>
    <w:p>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r>
        <w:rPr>
          <w:rFonts w:hint="eastAsia" w:ascii="仿宋" w:hAnsi="仿宋" w:eastAsia="仿宋" w:cs="Times New Roman"/>
          <w:b/>
          <w:bCs/>
          <w:sz w:val="32"/>
          <w:szCs w:val="32"/>
        </w:rPr>
        <w:t>二是</w:t>
      </w:r>
      <w:r>
        <w:rPr>
          <w:rFonts w:hint="eastAsia" w:ascii="仿宋" w:hAnsi="仿宋" w:eastAsia="仿宋" w:cs="Times New Roman"/>
          <w:sz w:val="32"/>
          <w:szCs w:val="32"/>
        </w:rPr>
        <w:t>强化执法监督。严格落实行政执法三项制度，更新并公开权责清单，对行政处罚案件和“双随机、一公开”事项在政府网站公示，继续实施执法过程全记录、重大案件法制审核，严格规范执法行为，杜绝不作为、乱作为的发生。建立健全行政权力制约和监督机制，自觉接受群众监督。</w:t>
      </w:r>
    </w:p>
    <w:p>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r>
        <w:rPr>
          <w:rFonts w:hint="eastAsia" w:ascii="仿宋" w:hAnsi="仿宋" w:eastAsia="仿宋" w:cs="Times New Roman"/>
          <w:b/>
          <w:bCs/>
          <w:sz w:val="32"/>
          <w:szCs w:val="32"/>
        </w:rPr>
        <w:t>三是</w:t>
      </w:r>
      <w:r>
        <w:rPr>
          <w:rFonts w:hint="eastAsia" w:ascii="仿宋" w:hAnsi="仿宋" w:eastAsia="仿宋" w:cs="Times New Roman"/>
          <w:sz w:val="32"/>
          <w:szCs w:val="32"/>
        </w:rPr>
        <w:t>坚持普法宣传多样化。落实普法责任制，结合重要时间节点，开展法治宣传教育活动，创新普法宣传的形式，采取线下与线上、集中与分散、传统与新颖相结合，真正将法治观念和法治素养深入人心。</w:t>
      </w:r>
    </w:p>
    <w:p>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p>
    <w:p>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p>
    <w:p>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p>
    <w:p>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p>
    <w:p>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p>
    <w:p>
      <w:pPr>
        <w:pStyle w:val="6"/>
        <w:shd w:val="clear" w:color="auto" w:fill="FFFFFF"/>
        <w:spacing w:before="0" w:beforeAutospacing="0" w:after="0" w:afterAutospacing="0" w:line="539" w:lineRule="atLeast"/>
        <w:ind w:firstLine="641"/>
        <w:jc w:val="both"/>
        <w:rPr>
          <w:rFonts w:hint="eastAsia" w:ascii="仿宋" w:hAnsi="仿宋" w:eastAsia="仿宋" w:cs="Times New Roman"/>
          <w:sz w:val="32"/>
          <w:szCs w:val="32"/>
        </w:rPr>
      </w:pPr>
    </w:p>
    <w:p>
      <w:pPr>
        <w:pStyle w:val="6"/>
        <w:shd w:val="clear" w:color="auto" w:fill="FFFFFF"/>
        <w:spacing w:before="0" w:beforeAutospacing="0" w:after="0" w:afterAutospacing="0" w:line="539" w:lineRule="atLeast"/>
        <w:ind w:firstLine="641"/>
        <w:jc w:val="right"/>
        <w:rPr>
          <w:rFonts w:ascii="仿宋" w:hAnsi="仿宋" w:eastAsia="仿宋" w:cs="Times New Roman"/>
          <w:sz w:val="32"/>
          <w:szCs w:val="32"/>
        </w:rPr>
      </w:pPr>
      <w:r>
        <w:rPr>
          <w:rFonts w:hint="eastAsia" w:ascii="仿宋" w:hAnsi="仿宋" w:eastAsia="仿宋" w:cs="Times New Roman"/>
          <w:sz w:val="32"/>
          <w:szCs w:val="32"/>
        </w:rPr>
        <w:t>前进区城市管理综合执法局</w:t>
      </w:r>
    </w:p>
    <w:p>
      <w:pPr>
        <w:pStyle w:val="6"/>
        <w:shd w:val="clear" w:color="auto" w:fill="FFFFFF"/>
        <w:spacing w:before="0" w:beforeAutospacing="0" w:after="0" w:afterAutospacing="0" w:line="539" w:lineRule="atLeast"/>
        <w:ind w:firstLine="641"/>
        <w:jc w:val="righ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Times New Roman"/>
          <w:sz w:val="32"/>
          <w:szCs w:val="32"/>
        </w:rPr>
        <w:t>2</w:t>
      </w:r>
      <w:r>
        <w:rPr>
          <w:rFonts w:ascii="仿宋" w:hAnsi="仿宋" w:eastAsia="仿宋" w:cs="Times New Roman"/>
          <w:sz w:val="32"/>
          <w:szCs w:val="32"/>
        </w:rPr>
        <w:t>024</w:t>
      </w:r>
      <w:r>
        <w:rPr>
          <w:rFonts w:hint="eastAsia" w:ascii="仿宋" w:hAnsi="仿宋" w:eastAsia="仿宋" w:cs="Times New Roman"/>
          <w:sz w:val="32"/>
          <w:szCs w:val="32"/>
        </w:rPr>
        <w:t>年1月1</w:t>
      </w:r>
      <w:r>
        <w:rPr>
          <w:rFonts w:ascii="仿宋" w:hAnsi="仿宋" w:eastAsia="仿宋" w:cs="Times New Roman"/>
          <w:sz w:val="32"/>
          <w:szCs w:val="32"/>
        </w:rPr>
        <w:t>5</w:t>
      </w:r>
      <w:r>
        <w:rPr>
          <w:rFonts w:hint="eastAsia" w:ascii="仿宋" w:hAnsi="仿宋" w:eastAsia="仿宋" w:cs="Times New Roman"/>
          <w:sz w:val="32"/>
          <w:szCs w:val="32"/>
        </w:rPr>
        <w:t>日</w:t>
      </w:r>
    </w:p>
    <w:p>
      <w:pPr>
        <w:jc w:val="center"/>
        <w:rPr>
          <w:rFonts w:ascii="仿宋" w:hAnsi="仿宋" w:eastAsia="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10" w:usb3="00000000" w:csb0="00040000" w:csb1="00000000"/>
  </w:font>
  <w:font w:name="sinsum">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2E"/>
    <w:rsid w:val="0000183C"/>
    <w:rsid w:val="001E382E"/>
    <w:rsid w:val="002C72AD"/>
    <w:rsid w:val="003B288F"/>
    <w:rsid w:val="00644DC6"/>
    <w:rsid w:val="00696519"/>
    <w:rsid w:val="008174B1"/>
    <w:rsid w:val="008A3BC5"/>
    <w:rsid w:val="00BA3832"/>
    <w:rsid w:val="00C402CC"/>
    <w:rsid w:val="00C9696C"/>
    <w:rsid w:val="00DF278E"/>
    <w:rsid w:val="00E75107"/>
    <w:rsid w:val="17C07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autoRedefine/>
    <w:qFormat/>
    <w:uiPriority w:val="22"/>
    <w:rPr>
      <w:b/>
      <w:bCs/>
    </w:rPr>
  </w:style>
  <w:style w:type="paragraph" w:customStyle="1" w:styleId="6">
    <w:name w:val="cjk"/>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321</Words>
  <Characters>1835</Characters>
  <Lines>15</Lines>
  <Paragraphs>4</Paragraphs>
  <TotalTime>94</TotalTime>
  <ScaleCrop>false</ScaleCrop>
  <LinksUpToDate>false</LinksUpToDate>
  <CharactersWithSpaces>2152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2024-02-19T02:13:00Z</dcterms:created>
  <dc:creator>Administrator</dc:creator>
  <cp:lastModifiedBy>『Mrs.kagami』</cp:lastModifiedBy>
  <dcterms:modified xsi:type="dcterms:W3CDTF">2024-02-26T02:34:34Z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EC12D5BC50824E6D8F78E95686FEAD3B_12</vt:lpwstr>
  </property>
</Properties>
</file>