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119" w:tblpY="1449"/>
        <w:tblOverlap w:val="never"/>
        <w:tblW w:w="10260"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60"/>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6" w:hRule="exact"/>
        </w:trPr>
        <w:tc>
          <w:tcPr>
            <w:tcW w:w="10260"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0" w:lineRule="atLeast"/>
              <w:jc w:val="distribute"/>
              <w:textAlignment w:val="auto"/>
              <w:rPr>
                <w:rFonts w:hint="eastAsia" w:ascii="方正小标宋简体" w:hAnsi="方正小标宋简体" w:eastAsia="方正小标宋简体" w:cs="方正小标宋简体"/>
                <w:b/>
                <w:bCs/>
                <w:color w:val="FF0000"/>
                <w:w w:val="48"/>
                <w:sz w:val="150"/>
                <w:szCs w:val="150"/>
                <w:lang w:val="en-US" w:eastAsia="zh-CN"/>
              </w:rPr>
            </w:pPr>
            <w:r>
              <w:rPr>
                <w:rFonts w:hint="eastAsia" w:ascii="方正小标宋简体" w:hAnsi="方正小标宋简体" w:eastAsia="方正小标宋简体" w:cs="方正小标宋简体"/>
                <w:b/>
                <w:bCs/>
                <w:color w:val="FF0000"/>
                <w:w w:val="48"/>
                <w:sz w:val="150"/>
                <w:szCs w:val="150"/>
                <w:lang w:val="en-US" w:eastAsia="zh-CN"/>
              </w:rPr>
              <w:t>佳木斯市前进区</w:t>
            </w:r>
          </w:p>
          <w:p>
            <w:pPr>
              <w:keepNext w:val="0"/>
              <w:keepLines w:val="0"/>
              <w:pageBreakBefore w:val="0"/>
              <w:widowControl w:val="0"/>
              <w:kinsoku/>
              <w:wordWrap/>
              <w:overflowPunct/>
              <w:topLinePunct w:val="0"/>
              <w:autoSpaceDE/>
              <w:autoSpaceDN/>
              <w:bidi w:val="0"/>
              <w:adjustRightInd/>
              <w:snapToGrid/>
              <w:spacing w:line="0" w:lineRule="atLeast"/>
              <w:jc w:val="distribute"/>
              <w:textAlignment w:val="auto"/>
              <w:rPr>
                <w:rFonts w:hint="default" w:ascii="方正小标宋简体" w:hAnsi="方正小标宋简体" w:eastAsia="方正小标宋简体" w:cs="方正小标宋简体"/>
                <w:b/>
                <w:bCs/>
                <w:color w:val="FF0000"/>
                <w:w w:val="48"/>
                <w:sz w:val="150"/>
                <w:szCs w:val="150"/>
                <w:lang w:val="en-US" w:eastAsia="zh-CN"/>
              </w:rPr>
            </w:pPr>
            <w:r>
              <w:rPr>
                <w:rFonts w:hint="eastAsia" w:ascii="方正小标宋简体" w:hAnsi="方正小标宋简体" w:eastAsia="方正小标宋简体" w:cs="方正小标宋简体"/>
                <w:b/>
                <w:bCs/>
                <w:color w:val="FF0000"/>
                <w:w w:val="48"/>
                <w:sz w:val="150"/>
                <w:szCs w:val="150"/>
                <w:lang w:val="en-US" w:eastAsia="zh-CN"/>
              </w:rPr>
              <w:t>营商环境建设监督局</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exact"/>
        </w:trPr>
        <w:tc>
          <w:tcPr>
            <w:tcW w:w="10260"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 w:hAnsi="仿宋" w:eastAsia="仿宋" w:cs="仿宋"/>
                <w:b w:val="0"/>
                <w:bCs/>
                <w:color w:val="00000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楷体" w:hAnsi="楷体" w:eastAsia="楷体" w:cs="楷体"/>
                <w:b w:val="0"/>
                <w:bCs/>
                <w:color w:val="00000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楷体" w:hAnsi="楷体" w:eastAsia="楷体" w:cs="楷体"/>
                <w:b w:val="0"/>
                <w:bCs/>
                <w:color w:val="000000"/>
                <w:w w:val="100"/>
                <w:sz w:val="2"/>
                <w:szCs w:val="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楷体" w:hAnsi="楷体" w:eastAsia="楷体" w:cs="楷体"/>
                <w:b w:val="0"/>
                <w:bCs/>
                <w:color w:val="000000"/>
                <w:w w:val="100"/>
                <w:sz w:val="2"/>
                <w:szCs w:val="2"/>
                <w:lang w:val="en-US" w:eastAsia="zh-CN"/>
              </w:rPr>
            </w:pPr>
          </w:p>
        </w:tc>
      </w:tr>
    </w:tbl>
    <w:p>
      <w:pPr>
        <w:jc w:val="center"/>
        <w:rPr>
          <w:rFonts w:hint="eastAsia" w:ascii="方正小标宋简体" w:hAnsi="宋体" w:eastAsia="方正小标宋简体"/>
          <w:b/>
          <w:sz w:val="44"/>
          <w:szCs w:val="44"/>
        </w:rPr>
      </w:pPr>
    </w:p>
    <w:p>
      <w:pPr>
        <w:jc w:val="center"/>
        <w:rPr>
          <w:rFonts w:hint="eastAsia" w:ascii="方正小标宋简体" w:hAnsi="宋体" w:eastAsia="方正小标宋简体"/>
          <w:b/>
          <w:sz w:val="44"/>
          <w:szCs w:val="44"/>
          <w:lang w:val="en-US" w:eastAsia="zh-CN"/>
        </w:rPr>
      </w:pPr>
      <w:r>
        <w:rPr>
          <w:rFonts w:hint="eastAsia" w:ascii="方正小标宋简体" w:hAnsi="宋体" w:eastAsia="方正小标宋简体"/>
          <w:b/>
          <w:sz w:val="44"/>
          <w:szCs w:val="44"/>
        </w:rPr>
        <w:t>前进区</w:t>
      </w:r>
      <w:r>
        <w:rPr>
          <w:rFonts w:hint="eastAsia" w:ascii="方正小标宋简体" w:hAnsi="宋体" w:eastAsia="方正小标宋简体"/>
          <w:b/>
          <w:sz w:val="44"/>
          <w:szCs w:val="44"/>
          <w:lang w:val="en-US" w:eastAsia="zh-CN"/>
        </w:rPr>
        <w:t>营商环境建设监督局</w:t>
      </w:r>
    </w:p>
    <w:p>
      <w:pPr>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2023年度法治政府建设</w:t>
      </w:r>
      <w:r>
        <w:rPr>
          <w:rFonts w:hint="eastAsia" w:ascii="方正小标宋简体" w:hAnsi="宋体" w:eastAsia="方正小标宋简体"/>
          <w:b w:val="0"/>
          <w:bCs/>
          <w:sz w:val="44"/>
          <w:szCs w:val="44"/>
          <w:lang w:val="en-US" w:eastAsia="zh-CN"/>
        </w:rPr>
        <w:t>报</w:t>
      </w:r>
      <w:r>
        <w:rPr>
          <w:rFonts w:hint="eastAsia" w:ascii="方正小标宋简体" w:hAnsi="宋体" w:eastAsia="方正小标宋简体"/>
          <w:b/>
          <w:sz w:val="44"/>
          <w:szCs w:val="44"/>
        </w:rPr>
        <w:t>告</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2023年，前进区营商环境建设监督局在区委、区政府的正确领导下，坚持以习近平新时代中国特色社会主义思想为指导，深入学习贯彻习近平总书记关于优化营商环境工作重要讲话指示批示精神和党中央、国务院关于优化营商环境工作的重大决策部署，以优化营商环境为核心，加强法治宣传教育，加大监管力度，深入推进依法优化营商环境，依法治理, 为我区经济高质量发展提供强有力的营商环境保障。现将营商环境建设监督局法治政府建设情况报告如下：</w:t>
      </w:r>
    </w:p>
    <w:p>
      <w:pPr>
        <w:widowControl/>
        <w:shd w:val="clear" w:color="auto" w:fill="FFFFFF"/>
        <w:ind w:left="481" w:leftChars="229" w:firstLine="160" w:firstLineChars="5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一、推进法治政府建设的主要举措和成效</w:t>
      </w:r>
    </w:p>
    <w:p>
      <w:pPr>
        <w:ind w:firstLine="480" w:firstLineChars="150"/>
        <w:rPr>
          <w:rFonts w:hint="eastAsia" w:ascii="楷体" w:hAnsi="楷体" w:eastAsia="楷体"/>
          <w:sz w:val="32"/>
          <w:szCs w:val="32"/>
        </w:rPr>
      </w:pPr>
      <w:r>
        <w:rPr>
          <w:rFonts w:hint="eastAsia" w:ascii="楷体" w:hAnsi="楷体" w:eastAsia="楷体"/>
          <w:sz w:val="32"/>
          <w:szCs w:val="32"/>
        </w:rPr>
        <w:t>（一）加强组织领导，</w:t>
      </w:r>
      <w:r>
        <w:rPr>
          <w:rFonts w:ascii="楷体" w:hAnsi="楷体" w:eastAsia="楷体"/>
          <w:sz w:val="32"/>
          <w:szCs w:val="32"/>
          <w:shd w:val="clear" w:color="auto" w:fill="FFFFFF"/>
        </w:rPr>
        <w:t>扎实</w:t>
      </w:r>
      <w:r>
        <w:rPr>
          <w:rFonts w:ascii="楷体" w:hAnsi="楷体" w:eastAsia="楷体"/>
          <w:color w:val="222222"/>
          <w:sz w:val="32"/>
          <w:szCs w:val="32"/>
          <w:shd w:val="clear" w:color="auto" w:fill="FFFFFF"/>
        </w:rPr>
        <w:t>推进法治政府建设</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营商环境建设监督局把法治政府建设作为全面依法营商的重点任务和主体工程来抓，将法治政府建设纳入经济社会发展总体规划和年度工作计划全方位推进。形成局长亲自抓，专业人员牵头，全体干部职工配合参与的工作格局。形成自上而下、有序开展的工作机制，将优化营商环境法制建设工作真正落到实处。</w:t>
      </w:r>
    </w:p>
    <w:p>
      <w:pPr>
        <w:ind w:firstLine="480" w:firstLineChars="150"/>
        <w:rPr>
          <w:rFonts w:hint="eastAsia" w:ascii="楷体" w:hAnsi="楷体" w:eastAsia="楷体"/>
          <w:color w:val="333333"/>
          <w:sz w:val="32"/>
          <w:szCs w:val="32"/>
          <w:shd w:val="clear" w:color="auto" w:fill="FFFFFF"/>
        </w:rPr>
      </w:pPr>
      <w:r>
        <w:rPr>
          <w:rFonts w:hint="eastAsia" w:ascii="楷体" w:hAnsi="楷体" w:eastAsia="楷体"/>
          <w:color w:val="000000"/>
          <w:sz w:val="32"/>
          <w:szCs w:val="32"/>
        </w:rPr>
        <w:t>（二）加强思想建设，</w:t>
      </w:r>
      <w:r>
        <w:rPr>
          <w:rFonts w:hint="eastAsia" w:ascii="楷体" w:hAnsi="楷体" w:eastAsia="楷体"/>
          <w:color w:val="333333"/>
          <w:sz w:val="32"/>
          <w:szCs w:val="32"/>
          <w:shd w:val="clear" w:color="auto" w:fill="FFFFFF"/>
        </w:rPr>
        <w:t>积极推进法制学习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将学习贯彻《条例》《办法》《规定》及《监督意见》等作为优化营商环境，强化问责一项主要内容，分层级分批次进行了传达学习。一是在区政府常务会议领导干部进行多次认真传达学习。二是组织营商相关行业部门和业务专班人员进行学习并建立了长效学习制度。三是对企业人员进行普法学习和业务培训，进一步规范营商流程。从思想上、政治站位上、认识上对营商相关领域法律法规敬畏之心不断增强，进一步提高了依法营商和依法治理的能力和水平，及时防范和惩治造假、弄虚作假行为，树立风清气正的营商氛围。</w:t>
      </w:r>
    </w:p>
    <w:p>
      <w:pPr>
        <w:numPr>
          <w:ilvl w:val="0"/>
          <w:numId w:val="1"/>
        </w:numPr>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积极营造法治营商环境</w:t>
      </w:r>
    </w:p>
    <w:p>
      <w:pPr>
        <w:ind w:firstLine="640" w:firstLineChars="200"/>
        <w:rPr>
          <w:rFonts w:hint="eastAsia" w:ascii="仿宋" w:hAnsi="仿宋" w:eastAsia="仿宋"/>
          <w:sz w:val="32"/>
          <w:szCs w:val="32"/>
          <w:lang w:val="en-US" w:eastAsia="zh-CN"/>
        </w:rPr>
      </w:pPr>
      <w:r>
        <w:rPr>
          <w:rFonts w:hint="default" w:ascii="仿宋" w:hAnsi="仿宋" w:eastAsia="仿宋"/>
          <w:sz w:val="32"/>
          <w:szCs w:val="32"/>
          <w:lang w:val="en-US" w:eastAsia="zh-CN"/>
        </w:rPr>
        <w:t>一是扎实做好政务服务工作</w:t>
      </w:r>
      <w:r>
        <w:rPr>
          <w:rFonts w:hint="eastAsia" w:ascii="仿宋" w:hAnsi="仿宋" w:eastAsia="仿宋"/>
          <w:sz w:val="32"/>
          <w:szCs w:val="32"/>
          <w:lang w:val="en-US" w:eastAsia="zh-CN"/>
        </w:rPr>
        <w:t>,</w:t>
      </w:r>
      <w:r>
        <w:rPr>
          <w:rFonts w:hint="default" w:ascii="仿宋" w:hAnsi="仿宋" w:eastAsia="仿宋"/>
          <w:sz w:val="32"/>
          <w:szCs w:val="32"/>
          <w:lang w:val="en-US" w:eastAsia="zh-CN"/>
        </w:rPr>
        <w:t>截止至2023年12月，共服务群众及企业人</w:t>
      </w:r>
      <w:r>
        <w:rPr>
          <w:rFonts w:hint="eastAsia" w:ascii="仿宋" w:hAnsi="仿宋" w:eastAsia="仿宋" w:cs="仿宋"/>
          <w:sz w:val="32"/>
          <w:szCs w:val="32"/>
          <w:lang w:val="en-US" w:eastAsia="zh-CN"/>
        </w:rPr>
        <w:t>员15496人次，办理各项</w:t>
      </w:r>
      <w:r>
        <w:rPr>
          <w:rFonts w:hint="default" w:ascii="仿宋" w:hAnsi="仿宋" w:eastAsia="仿宋"/>
          <w:sz w:val="32"/>
          <w:szCs w:val="32"/>
          <w:lang w:val="en-US" w:eastAsia="zh-CN"/>
        </w:rPr>
        <w:t>业务6830项，帮代办服务完成418次</w:t>
      </w:r>
      <w:r>
        <w:rPr>
          <w:rFonts w:hint="eastAsia" w:ascii="仿宋" w:hAnsi="仿宋" w:eastAsia="仿宋"/>
          <w:sz w:val="32"/>
          <w:szCs w:val="32"/>
          <w:lang w:val="en-US" w:eastAsia="zh-CN"/>
        </w:rPr>
        <w:t>。</w:t>
      </w:r>
      <w:r>
        <w:rPr>
          <w:rFonts w:hint="default" w:ascii="仿宋" w:hAnsi="仿宋" w:eastAsia="仿宋"/>
          <w:sz w:val="32"/>
          <w:szCs w:val="32"/>
          <w:lang w:val="en-US" w:eastAsia="zh-CN"/>
        </w:rPr>
        <w:t>二是全面推进数字政府建设</w:t>
      </w:r>
      <w:r>
        <w:rPr>
          <w:rFonts w:hint="eastAsia" w:ascii="仿宋" w:hAnsi="仿宋" w:eastAsia="仿宋"/>
          <w:sz w:val="32"/>
          <w:szCs w:val="32"/>
          <w:lang w:val="en-US" w:eastAsia="zh-CN"/>
        </w:rPr>
        <w:t>,</w:t>
      </w:r>
      <w:r>
        <w:rPr>
          <w:rFonts w:hint="default" w:ascii="仿宋" w:hAnsi="仿宋" w:eastAsia="仿宋"/>
          <w:sz w:val="32"/>
          <w:szCs w:val="32"/>
          <w:lang w:val="en-US" w:eastAsia="zh-CN"/>
        </w:rPr>
        <w:t>实现域内政务外网全覆盖，所有驻外部门、街道、社区均采用光纤接入的方式，接入点位及部门总计52个。</w:t>
      </w:r>
      <w:r>
        <w:rPr>
          <w:rFonts w:hint="eastAsia" w:ascii="仿宋" w:hAnsi="仿宋" w:eastAsia="仿宋"/>
          <w:sz w:val="32"/>
          <w:szCs w:val="32"/>
          <w:lang w:val="en-US" w:eastAsia="zh-CN"/>
        </w:rPr>
        <w:t>三</w:t>
      </w:r>
      <w:r>
        <w:rPr>
          <w:rFonts w:hint="default" w:ascii="仿宋" w:hAnsi="仿宋" w:eastAsia="仿宋"/>
          <w:sz w:val="32"/>
          <w:szCs w:val="32"/>
          <w:lang w:val="en-US" w:eastAsia="zh-CN"/>
        </w:rPr>
        <w:t>是</w:t>
      </w:r>
      <w:r>
        <w:rPr>
          <w:rFonts w:hint="eastAsia" w:ascii="仿宋" w:hAnsi="仿宋" w:eastAsia="仿宋"/>
          <w:sz w:val="32"/>
          <w:szCs w:val="32"/>
          <w:lang w:val="en-US" w:eastAsia="zh-CN"/>
        </w:rPr>
        <w:t>强化社会信用体系建设,</w:t>
      </w:r>
      <w:r>
        <w:rPr>
          <w:rFonts w:hint="default" w:ascii="仿宋" w:hAnsi="仿宋" w:eastAsia="仿宋"/>
          <w:sz w:val="32"/>
          <w:szCs w:val="32"/>
          <w:lang w:val="en-US" w:eastAsia="zh-CN"/>
        </w:rPr>
        <w:t>建立“码上诚信”应用场景23个，亮码行业领域实现 20个以上。</w:t>
      </w:r>
      <w:r>
        <w:rPr>
          <w:rFonts w:hint="eastAsia" w:ascii="仿宋" w:hAnsi="仿宋" w:eastAsia="仿宋"/>
          <w:sz w:val="32"/>
          <w:szCs w:val="32"/>
          <w:lang w:val="en-US" w:eastAsia="zh-CN"/>
        </w:rPr>
        <w:t>四</w:t>
      </w:r>
      <w:r>
        <w:rPr>
          <w:rFonts w:hint="default" w:ascii="仿宋" w:hAnsi="仿宋" w:eastAsia="仿宋"/>
          <w:sz w:val="32"/>
          <w:szCs w:val="32"/>
          <w:lang w:val="en-US" w:eastAsia="zh-CN"/>
        </w:rPr>
        <w:t>是</w:t>
      </w:r>
      <w:r>
        <w:rPr>
          <w:rFonts w:hint="eastAsia" w:ascii="仿宋" w:hAnsi="仿宋" w:eastAsia="仿宋"/>
          <w:sz w:val="32"/>
          <w:szCs w:val="32"/>
          <w:lang w:val="en-US" w:eastAsia="zh-CN"/>
        </w:rPr>
        <w:t>12345政务热线提质增效;</w:t>
      </w:r>
      <w:r>
        <w:rPr>
          <w:rFonts w:hint="default" w:ascii="仿宋" w:hAnsi="仿宋" w:eastAsia="仿宋"/>
          <w:sz w:val="32"/>
          <w:szCs w:val="32"/>
          <w:lang w:val="en-US" w:eastAsia="zh-CN"/>
        </w:rPr>
        <w:t>市、区、街道、社区四级联动主要针对网格通应用、12345政务工单处置、巡查事件上报流程和企业信息录入等内容开展专题业务培训共1605人次</w:t>
      </w:r>
      <w:r>
        <w:rPr>
          <w:rFonts w:hint="eastAsia" w:ascii="仿宋" w:hAnsi="仿宋" w:eastAsia="仿宋"/>
          <w:sz w:val="32"/>
          <w:szCs w:val="32"/>
          <w:lang w:val="en-US" w:eastAsia="zh-CN"/>
        </w:rPr>
        <w:t>,</w:t>
      </w:r>
      <w:r>
        <w:rPr>
          <w:rFonts w:hint="default" w:ascii="仿宋" w:hAnsi="仿宋" w:eastAsia="仿宋"/>
          <w:sz w:val="32"/>
          <w:szCs w:val="32"/>
          <w:lang w:val="en-US" w:eastAsia="zh-CN"/>
        </w:rPr>
        <w:t>针对疑难工单制定</w:t>
      </w:r>
      <w:r>
        <w:rPr>
          <w:rFonts w:hint="eastAsia" w:ascii="仿宋" w:hAnsi="仿宋" w:eastAsia="仿宋"/>
          <w:sz w:val="32"/>
          <w:szCs w:val="32"/>
          <w:lang w:val="en-US" w:eastAsia="zh-CN"/>
        </w:rPr>
        <w:t>相关规定，与其他单位</w:t>
      </w:r>
      <w:r>
        <w:rPr>
          <w:rFonts w:hint="default" w:ascii="仿宋" w:hAnsi="仿宋" w:eastAsia="仿宋"/>
          <w:sz w:val="32"/>
          <w:szCs w:val="32"/>
          <w:lang w:val="en-US" w:eastAsia="zh-CN"/>
        </w:rPr>
        <w:t>互联互通，高效联动</w:t>
      </w:r>
      <w:r>
        <w:rPr>
          <w:rFonts w:hint="eastAsia" w:ascii="仿宋" w:hAnsi="仿宋" w:eastAsia="仿宋"/>
          <w:sz w:val="32"/>
          <w:szCs w:val="32"/>
          <w:lang w:val="en-US" w:eastAsia="zh-CN"/>
        </w:rPr>
        <w:t>，针对</w:t>
      </w:r>
      <w:r>
        <w:rPr>
          <w:rFonts w:hint="default" w:ascii="仿宋" w:hAnsi="仿宋" w:eastAsia="仿宋"/>
          <w:sz w:val="32"/>
          <w:szCs w:val="32"/>
          <w:lang w:val="en-US" w:eastAsia="zh-CN"/>
        </w:rPr>
        <w:t>特殊时期启动24小时应急处置机制。</w:t>
      </w:r>
    </w:p>
    <w:p>
      <w:pPr>
        <w:ind w:firstLine="480" w:firstLineChars="150"/>
        <w:rPr>
          <w:rFonts w:hint="eastAsia" w:ascii="楷体" w:hAnsi="楷体" w:eastAsia="楷体"/>
          <w:color w:val="333333"/>
          <w:sz w:val="32"/>
          <w:szCs w:val="32"/>
          <w:shd w:val="clear" w:color="auto" w:fill="FFFFFF"/>
        </w:rPr>
      </w:pPr>
      <w:r>
        <w:rPr>
          <w:rFonts w:hint="eastAsia" w:ascii="楷体" w:hAnsi="楷体" w:eastAsia="楷体"/>
          <w:sz w:val="32"/>
          <w:szCs w:val="32"/>
        </w:rPr>
        <w:t>（四）开展</w:t>
      </w:r>
      <w:r>
        <w:rPr>
          <w:rFonts w:hint="eastAsia" w:ascii="楷体" w:hAnsi="楷体" w:eastAsia="楷体"/>
          <w:sz w:val="32"/>
          <w:szCs w:val="32"/>
          <w:lang w:val="en-US" w:eastAsia="zh-CN"/>
        </w:rPr>
        <w:t>监督</w:t>
      </w:r>
      <w:r>
        <w:rPr>
          <w:rFonts w:hint="eastAsia" w:ascii="楷体" w:hAnsi="楷体" w:eastAsia="楷体"/>
          <w:sz w:val="32"/>
          <w:szCs w:val="32"/>
        </w:rPr>
        <w:t>检查，推进</w:t>
      </w:r>
      <w:r>
        <w:rPr>
          <w:rFonts w:hint="eastAsia" w:ascii="楷体" w:hAnsi="楷体" w:eastAsia="楷体"/>
          <w:sz w:val="32"/>
          <w:szCs w:val="32"/>
          <w:lang w:val="en-US" w:eastAsia="zh-CN"/>
        </w:rPr>
        <w:t>监督</w:t>
      </w:r>
      <w:r>
        <w:rPr>
          <w:rFonts w:hint="eastAsia" w:ascii="楷体" w:hAnsi="楷体" w:eastAsia="楷体"/>
          <w:sz w:val="32"/>
          <w:szCs w:val="32"/>
        </w:rPr>
        <w:t>队伍建设</w:t>
      </w:r>
      <w:r>
        <w:rPr>
          <w:rFonts w:hint="eastAsia" w:ascii="楷体" w:hAnsi="楷体" w:eastAsia="楷体"/>
          <w:color w:val="333333"/>
          <w:sz w:val="32"/>
          <w:szCs w:val="32"/>
          <w:shd w:val="clear" w:color="auto" w:fill="FFFFFF"/>
        </w:rPr>
        <w:t xml:space="preserve"> </w:t>
      </w:r>
    </w:p>
    <w:p>
      <w:pPr>
        <w:ind w:firstLine="640" w:firstLineChars="200"/>
        <w:rPr>
          <w:rFonts w:hint="eastAsia" w:ascii="仿宋" w:hAnsi="仿宋" w:eastAsia="仿宋"/>
          <w:sz w:val="32"/>
          <w:szCs w:val="32"/>
        </w:rPr>
      </w:pPr>
      <w:r>
        <w:rPr>
          <w:rFonts w:hint="eastAsia" w:ascii="仿宋" w:hAnsi="仿宋" w:eastAsia="仿宋"/>
          <w:sz w:val="32"/>
          <w:szCs w:val="32"/>
        </w:rPr>
        <w:t>加强</w:t>
      </w:r>
      <w:r>
        <w:rPr>
          <w:rFonts w:hint="eastAsia" w:ascii="仿宋" w:hAnsi="仿宋" w:eastAsia="仿宋"/>
          <w:sz w:val="32"/>
          <w:szCs w:val="32"/>
          <w:lang w:val="en-US" w:eastAsia="zh-CN"/>
        </w:rPr>
        <w:t>营商</w:t>
      </w:r>
      <w:r>
        <w:rPr>
          <w:rFonts w:hint="eastAsia" w:ascii="仿宋" w:hAnsi="仿宋" w:eastAsia="仿宋"/>
          <w:sz w:val="32"/>
          <w:szCs w:val="32"/>
        </w:rPr>
        <w:t>队伍建设，积极组织符合参考条件的人员参加</w:t>
      </w:r>
      <w:r>
        <w:rPr>
          <w:rFonts w:hint="eastAsia" w:ascii="仿宋" w:hAnsi="仿宋" w:eastAsia="仿宋"/>
          <w:sz w:val="32"/>
          <w:szCs w:val="32"/>
          <w:lang w:val="en-US" w:eastAsia="zh-CN"/>
        </w:rPr>
        <w:t>相关</w:t>
      </w:r>
      <w:r>
        <w:rPr>
          <w:rFonts w:hint="eastAsia" w:ascii="仿宋" w:hAnsi="仿宋" w:eastAsia="仿宋"/>
          <w:sz w:val="32"/>
          <w:szCs w:val="32"/>
        </w:rPr>
        <w:t>考试；加强领导干部提高</w:t>
      </w:r>
      <w:r>
        <w:rPr>
          <w:rFonts w:hint="eastAsia" w:ascii="仿宋" w:hAnsi="仿宋" w:eastAsia="仿宋"/>
          <w:sz w:val="32"/>
          <w:szCs w:val="32"/>
          <w:lang w:val="en-US" w:eastAsia="zh-CN"/>
        </w:rPr>
        <w:t>业务</w:t>
      </w:r>
      <w:r>
        <w:rPr>
          <w:rFonts w:hint="eastAsia" w:ascii="仿宋" w:hAnsi="仿宋" w:eastAsia="仿宋"/>
          <w:sz w:val="32"/>
          <w:szCs w:val="32"/>
        </w:rPr>
        <w:t>能力，定期向市</w:t>
      </w:r>
      <w:r>
        <w:rPr>
          <w:rFonts w:hint="eastAsia" w:ascii="仿宋" w:hAnsi="仿宋" w:eastAsia="仿宋"/>
          <w:sz w:val="32"/>
          <w:szCs w:val="32"/>
          <w:lang w:val="en-US" w:eastAsia="zh-CN"/>
        </w:rPr>
        <w:t>营商局</w:t>
      </w:r>
      <w:r>
        <w:rPr>
          <w:rFonts w:hint="eastAsia" w:ascii="仿宋" w:hAnsi="仿宋" w:eastAsia="仿宋"/>
          <w:sz w:val="32"/>
          <w:szCs w:val="32"/>
        </w:rPr>
        <w:t>报送工作台账；</w:t>
      </w:r>
      <w:r>
        <w:rPr>
          <w:rFonts w:hint="eastAsia" w:ascii="仿宋" w:hAnsi="仿宋" w:eastAsia="仿宋"/>
          <w:color w:val="333333"/>
          <w:sz w:val="32"/>
          <w:szCs w:val="32"/>
          <w:shd w:val="clear" w:color="auto" w:fill="FFFFFF"/>
        </w:rPr>
        <w:t>扎实推进“双随机、一公开”</w:t>
      </w:r>
      <w:r>
        <w:rPr>
          <w:rFonts w:hint="eastAsia" w:ascii="仿宋" w:hAnsi="仿宋" w:eastAsia="仿宋"/>
          <w:color w:val="333333"/>
          <w:sz w:val="32"/>
          <w:szCs w:val="32"/>
          <w:shd w:val="clear" w:color="auto" w:fill="FFFFFF"/>
          <w:lang w:val="en-US" w:eastAsia="zh-CN"/>
        </w:rPr>
        <w:t>营商环境</w:t>
      </w:r>
      <w:r>
        <w:rPr>
          <w:rFonts w:hint="eastAsia" w:ascii="仿宋" w:hAnsi="仿宋" w:eastAsia="仿宋"/>
          <w:color w:val="333333"/>
          <w:sz w:val="32"/>
          <w:szCs w:val="32"/>
          <w:shd w:val="clear" w:color="auto" w:fill="FFFFFF"/>
        </w:rPr>
        <w:t>检查常态化、制度化，</w:t>
      </w:r>
      <w:r>
        <w:rPr>
          <w:rFonts w:hint="eastAsia" w:ascii="仿宋" w:hAnsi="仿宋" w:eastAsia="仿宋"/>
          <w:sz w:val="32"/>
          <w:szCs w:val="32"/>
          <w:lang w:val="en-US" w:eastAsia="zh-CN"/>
        </w:rPr>
        <w:t>开展营商系统内部市场主体和群众“办事难”、解决历史遗留问题、政府合同履约监管等多次专项监督，发现政务服务和行政审批类问题17个、政府部门欠款线索2个，目前已全部整改完毕。立案受理市级转办投诉案件1个，相关责任部门已签订协议，案件已在时限内办结。</w:t>
      </w:r>
    </w:p>
    <w:p>
      <w:pPr>
        <w:ind w:firstLine="480" w:firstLineChars="150"/>
        <w:rPr>
          <w:rFonts w:hint="eastAsia" w:ascii="仿宋" w:hAnsi="仿宋" w:eastAsia="仿宋"/>
          <w:sz w:val="32"/>
          <w:szCs w:val="32"/>
        </w:rPr>
      </w:pPr>
      <w:r>
        <w:rPr>
          <w:rFonts w:hint="eastAsia" w:ascii="楷体" w:hAnsi="楷体" w:eastAsia="楷体"/>
          <w:color w:val="313131"/>
          <w:sz w:val="32"/>
          <w:szCs w:val="32"/>
        </w:rPr>
        <w:t>（五）</w:t>
      </w:r>
      <w:r>
        <w:rPr>
          <w:rFonts w:hint="eastAsia" w:ascii="楷体" w:hAnsi="楷体" w:eastAsia="楷体"/>
          <w:sz w:val="32"/>
          <w:szCs w:val="32"/>
        </w:rPr>
        <w:t>加强业务指导，积极开展普法宣传活动</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区</w:t>
      </w:r>
      <w:r>
        <w:rPr>
          <w:rFonts w:hint="eastAsia" w:ascii="仿宋" w:hAnsi="仿宋" w:eastAsia="仿宋"/>
          <w:sz w:val="32"/>
          <w:szCs w:val="32"/>
          <w:lang w:val="en-US" w:eastAsia="zh-CN"/>
        </w:rPr>
        <w:t>营商环境建设监督局</w:t>
      </w:r>
      <w:r>
        <w:rPr>
          <w:rFonts w:hint="eastAsia" w:ascii="仿宋" w:hAnsi="仿宋" w:eastAsia="仿宋"/>
          <w:sz w:val="32"/>
          <w:szCs w:val="32"/>
        </w:rPr>
        <w:t>采取多种形式通过多种渠道开展讲业务、强本领、促提升业务大讲堂，组织开展了多个专业的报表事项及重点业务内容培训。</w:t>
      </w:r>
      <w:r>
        <w:rPr>
          <w:rFonts w:hint="eastAsia" w:ascii="仿宋" w:hAnsi="仿宋" w:eastAsia="仿宋"/>
          <w:sz w:val="32"/>
          <w:szCs w:val="32"/>
          <w:lang w:val="en-US" w:eastAsia="zh-CN"/>
        </w:rPr>
        <w:t>本年度共开展政务大讲堂48次，切实提升工作人员业务能力，开展礼仪培训10次；政务服务中心迎接省市区各级领导调研指导22次。深入开展诚信“七进”宣传活动，共计80次；加大“码上诚信”推广应用力度，截至目前通过“码上诚信”自主注册市场主体的数量为13627家，占区域市场主体总数的78%。建立“码上诚信”应用场景23个，亮码行业领域实现 20个以上。</w:t>
      </w:r>
    </w:p>
    <w:p>
      <w:pPr>
        <w:widowControl/>
        <w:shd w:val="clear" w:color="auto" w:fill="FFFFFF"/>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二、推进法治政府建设存在的不足和原因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bCs/>
          <w:sz w:val="32"/>
          <w:szCs w:val="32"/>
          <w:lang w:val="en-US" w:eastAsia="zh-CN"/>
        </w:rPr>
      </w:pPr>
      <w:r>
        <w:rPr>
          <w:rFonts w:hint="eastAsia" w:ascii="楷体" w:hAnsi="楷体" w:eastAsia="楷体" w:cs="楷体"/>
          <w:b w:val="0"/>
          <w:bCs w:val="0"/>
          <w:color w:val="000000"/>
          <w:kern w:val="0"/>
          <w:sz w:val="32"/>
          <w:szCs w:val="32"/>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color w:val="000000"/>
          <w:kern w:val="0"/>
          <w:sz w:val="32"/>
          <w:szCs w:val="32"/>
        </w:rPr>
        <w:t>）</w:t>
      </w:r>
      <w:r>
        <w:rPr>
          <w:rFonts w:hint="eastAsia" w:ascii="楷体" w:hAnsi="楷体" w:eastAsia="楷体" w:cs="楷体"/>
          <w:b w:val="0"/>
          <w:bCs w:val="0"/>
          <w:sz w:val="32"/>
          <w:szCs w:val="32"/>
          <w:lang w:val="en-US" w:eastAsia="zh-CN"/>
        </w:rPr>
        <w:t>是专班日常工作与专项行动工作衔接不畅</w:t>
      </w:r>
      <w:r>
        <w:rPr>
          <w:rFonts w:hint="eastAsia" w:ascii="Times New Roman" w:hAnsi="Times New Roman" w:eastAsia="仿宋_GB2312" w:cs="Times New Roman"/>
          <w:b w:val="0"/>
          <w:bCs w:val="0"/>
          <w:sz w:val="32"/>
          <w:szCs w:val="32"/>
          <w:lang w:val="en-US" w:eastAsia="zh-CN"/>
        </w:rPr>
        <w:t>。</w:t>
      </w:r>
      <w:r>
        <w:rPr>
          <w:rFonts w:hint="eastAsia" w:ascii="仿宋" w:hAnsi="仿宋" w:eastAsia="仿宋" w:cs="仿宋"/>
          <w:b w:val="0"/>
          <w:bCs w:val="0"/>
          <w:sz w:val="32"/>
          <w:szCs w:val="32"/>
          <w:lang w:val="en-US" w:eastAsia="zh-CN"/>
        </w:rPr>
        <w:t>通过开展日常督导工作时发现，各专班在履行工作职能时所作的创新亮点工作不在少数，但依然存在思想认识不能跟上最新要求的问题，基础工作与营商环境专项行动工作要求没有找到很好的衔接点，不能形成有效对接和联动效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color w:val="000000"/>
          <w:kern w:val="0"/>
          <w:sz w:val="32"/>
          <w:szCs w:val="32"/>
        </w:rPr>
        <w:t>（</w:t>
      </w:r>
      <w:r>
        <w:rPr>
          <w:rFonts w:hint="eastAsia" w:ascii="楷体" w:hAnsi="楷体" w:eastAsia="楷体" w:cs="楷体"/>
          <w:b w:val="0"/>
          <w:bCs w:val="0"/>
          <w:color w:val="000000"/>
          <w:kern w:val="0"/>
          <w:sz w:val="32"/>
          <w:szCs w:val="32"/>
          <w:lang w:val="en-US" w:eastAsia="zh-CN"/>
        </w:rPr>
        <w:t>二</w:t>
      </w:r>
      <w:r>
        <w:rPr>
          <w:rFonts w:hint="eastAsia" w:ascii="楷体" w:hAnsi="楷体" w:eastAsia="楷体" w:cs="楷体"/>
          <w:b w:val="0"/>
          <w:bCs w:val="0"/>
          <w:color w:val="000000"/>
          <w:kern w:val="0"/>
          <w:sz w:val="32"/>
          <w:szCs w:val="32"/>
        </w:rPr>
        <w:t>）</w:t>
      </w:r>
      <w:r>
        <w:rPr>
          <w:rFonts w:hint="eastAsia" w:ascii="楷体" w:hAnsi="楷体" w:eastAsia="楷体" w:cs="楷体"/>
          <w:b w:val="0"/>
          <w:bCs w:val="0"/>
          <w:color w:val="000000"/>
          <w:kern w:val="0"/>
          <w:sz w:val="32"/>
          <w:szCs w:val="32"/>
          <w:lang w:val="en-US" w:eastAsia="zh-CN"/>
        </w:rPr>
        <w:t>是区级职能较弱承接能力不足。</w:t>
      </w:r>
      <w:r>
        <w:rPr>
          <w:rFonts w:hint="eastAsia" w:ascii="仿宋" w:hAnsi="仿宋" w:eastAsia="仿宋" w:cs="仿宋"/>
          <w:b w:val="0"/>
          <w:bCs w:val="0"/>
          <w:sz w:val="32"/>
          <w:szCs w:val="32"/>
          <w:lang w:val="en-US" w:eastAsia="zh-CN"/>
        </w:rPr>
        <w:t>优化营商环境专项行动各项工作任务是省、市有关部门所制定的，但因区况较小、职能下放不畅、人员配置较弱等问题，存在很多上级任务接不住、执行工作干不好的问题，有部分职能部门承接专班工作任务，而实际只有一名工作人员承担多个专班运行工作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color w:val="000000"/>
          <w:kern w:val="0"/>
          <w:sz w:val="32"/>
          <w:szCs w:val="32"/>
        </w:rPr>
        <w:t>（</w:t>
      </w:r>
      <w:r>
        <w:rPr>
          <w:rFonts w:hint="eastAsia" w:ascii="楷体" w:hAnsi="楷体" w:eastAsia="楷体" w:cs="楷体"/>
          <w:b w:val="0"/>
          <w:bCs w:val="0"/>
          <w:color w:val="000000"/>
          <w:kern w:val="0"/>
          <w:sz w:val="32"/>
          <w:szCs w:val="32"/>
          <w:lang w:val="en-US" w:eastAsia="zh-CN"/>
        </w:rPr>
        <w:t>三</w:t>
      </w:r>
      <w:r>
        <w:rPr>
          <w:rFonts w:hint="eastAsia" w:ascii="楷体" w:hAnsi="楷体" w:eastAsia="楷体" w:cs="楷体"/>
          <w:b w:val="0"/>
          <w:bCs w:val="0"/>
          <w:color w:val="000000"/>
          <w:kern w:val="0"/>
          <w:sz w:val="32"/>
          <w:szCs w:val="32"/>
        </w:rPr>
        <w:t>）</w:t>
      </w:r>
      <w:r>
        <w:rPr>
          <w:rFonts w:hint="eastAsia" w:ascii="楷体" w:hAnsi="楷体" w:eastAsia="楷体" w:cs="楷体"/>
          <w:b w:val="0"/>
          <w:bCs w:val="0"/>
          <w:color w:val="000000"/>
          <w:kern w:val="0"/>
          <w:sz w:val="32"/>
          <w:szCs w:val="32"/>
          <w:lang w:val="en-US" w:eastAsia="zh-CN"/>
        </w:rPr>
        <w:t>是营商环境宣传氛围不够浓厚。</w:t>
      </w:r>
      <w:r>
        <w:rPr>
          <w:rFonts w:hint="eastAsia" w:ascii="仿宋" w:hAnsi="仿宋" w:eastAsia="仿宋" w:cs="仿宋"/>
          <w:b w:val="0"/>
          <w:bCs w:val="0"/>
          <w:sz w:val="32"/>
          <w:szCs w:val="32"/>
          <w:lang w:val="en-US" w:eastAsia="zh-CN"/>
        </w:rPr>
        <w:t>有的专班对专项行动创新的好做法及取得的好成效，没有及时、系统地归纳总结，并积极在各级各类媒体宣传推广，未形成浓厚的营商环境氛围。向区领导小组办公室推送的工作动态少，被采用的更少。</w:t>
      </w:r>
    </w:p>
    <w:p>
      <w:pPr>
        <w:pStyle w:val="2"/>
      </w:pPr>
    </w:p>
    <w:p>
      <w:pPr>
        <w:widowControl/>
        <w:shd w:val="clear" w:color="auto" w:fill="FFFFFF"/>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三、党政主要负责人履行推进法治建设第一责任人职责及法治政府建设有关情况</w:t>
      </w:r>
    </w:p>
    <w:p>
      <w:pPr>
        <w:widowControl/>
        <w:shd w:val="clear" w:color="auto" w:fill="FFFFFF"/>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营商环境建设监督局</w:t>
      </w:r>
      <w:r>
        <w:rPr>
          <w:rFonts w:hint="eastAsia" w:ascii="仿宋" w:hAnsi="仿宋" w:eastAsia="仿宋"/>
          <w:sz w:val="32"/>
          <w:szCs w:val="32"/>
        </w:rPr>
        <w:t>党政主要负责人高度重视法治政府建设，坚持以</w:t>
      </w:r>
      <w:r>
        <w:rPr>
          <w:rFonts w:hint="eastAsia" w:ascii="仿宋" w:hAnsi="仿宋" w:eastAsia="仿宋" w:cs="宋体"/>
          <w:kern w:val="0"/>
          <w:sz w:val="32"/>
          <w:szCs w:val="32"/>
        </w:rPr>
        <w:t>习近平法治思想为指导</w:t>
      </w:r>
      <w:r>
        <w:rPr>
          <w:rFonts w:hint="eastAsia" w:ascii="仿宋" w:hAnsi="仿宋" w:eastAsia="仿宋" w:cs="宋体"/>
          <w:kern w:val="0"/>
          <w:sz w:val="32"/>
          <w:szCs w:val="32"/>
          <w:lang w:eastAsia="zh-CN"/>
        </w:rPr>
        <w:t>，</w:t>
      </w:r>
      <w:r>
        <w:rPr>
          <w:rFonts w:hint="eastAsia" w:ascii="仿宋" w:hAnsi="仿宋" w:eastAsia="仿宋"/>
          <w:sz w:val="32"/>
          <w:szCs w:val="32"/>
          <w:lang w:val="en-US" w:eastAsia="zh-CN"/>
        </w:rPr>
        <w:t>落实《党政主要负责人履行推进法治建设第一责任人职责规定》，加强对单位法治政府建设工作的组织领导，对法治建设重要工作亲自部署、重大问题亲自过问、重点环节亲自协调、重要任务亲自督办。以“四个体系”深入推进法治政府建设做深做细做实，将法治建设纳入全年重点工作任务之一，严格执行重大行政决策法定程序，坚持规范公正文明执法，落实行政执法责任，深入开展普法与依法治理工作，</w:t>
      </w:r>
      <w:r>
        <w:rPr>
          <w:rFonts w:hint="eastAsia" w:ascii="仿宋" w:hAnsi="仿宋" w:eastAsia="仿宋"/>
          <w:sz w:val="32"/>
          <w:szCs w:val="32"/>
        </w:rPr>
        <w:t>始终把法治思维和法治方式贯穿于</w:t>
      </w:r>
      <w:r>
        <w:rPr>
          <w:rFonts w:hint="eastAsia" w:ascii="仿宋" w:hAnsi="仿宋" w:eastAsia="仿宋"/>
          <w:sz w:val="32"/>
          <w:szCs w:val="32"/>
          <w:lang w:val="en-US" w:eastAsia="zh-CN"/>
        </w:rPr>
        <w:t>优化营商环境</w:t>
      </w:r>
      <w:r>
        <w:rPr>
          <w:rFonts w:hint="eastAsia" w:ascii="仿宋" w:hAnsi="仿宋" w:eastAsia="仿宋"/>
          <w:sz w:val="32"/>
          <w:szCs w:val="32"/>
        </w:rPr>
        <w:t>工作始终</w:t>
      </w:r>
      <w:r>
        <w:rPr>
          <w:rFonts w:hint="eastAsia" w:ascii="仿宋" w:hAnsi="仿宋" w:eastAsia="仿宋"/>
          <w:sz w:val="32"/>
          <w:szCs w:val="32"/>
          <w:lang w:eastAsia="zh-CN"/>
        </w:rPr>
        <w:t>，</w:t>
      </w:r>
      <w:r>
        <w:rPr>
          <w:rFonts w:hint="eastAsia" w:ascii="仿宋" w:hAnsi="仿宋" w:eastAsia="仿宋"/>
          <w:sz w:val="32"/>
          <w:szCs w:val="32"/>
          <w:lang w:val="en-US" w:eastAsia="zh-CN"/>
        </w:rPr>
        <w:t>取得了一定的成效。</w:t>
      </w:r>
    </w:p>
    <w:p>
      <w:pPr>
        <w:widowControl/>
        <w:shd w:val="clear" w:color="auto" w:fill="FFFFFF"/>
        <w:ind w:firstLine="800" w:firstLineChars="25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四、2024年度推进法治政府建设的主要安排</w:t>
      </w:r>
    </w:p>
    <w:p>
      <w:pPr>
        <w:pStyle w:val="13"/>
        <w:shd w:val="clear" w:color="auto" w:fill="FFFFFF"/>
        <w:spacing w:before="0" w:beforeAutospacing="0" w:after="0" w:afterAutospacing="0" w:line="600" w:lineRule="atLeast"/>
        <w:ind w:firstLine="626" w:firstLineChars="195"/>
        <w:jc w:val="both"/>
        <w:rPr>
          <w:rStyle w:val="14"/>
          <w:rFonts w:hint="eastAsia" w:ascii="仿宋" w:hAnsi="仿宋" w:eastAsia="仿宋"/>
          <w:color w:val="333333"/>
          <w:sz w:val="32"/>
          <w:szCs w:val="32"/>
        </w:rPr>
      </w:pPr>
      <w:r>
        <w:rPr>
          <w:rStyle w:val="14"/>
          <w:rFonts w:hint="eastAsia" w:ascii="楷体" w:hAnsi="楷体" w:eastAsia="楷体"/>
          <w:b/>
          <w:bCs/>
          <w:color w:val="333333"/>
          <w:sz w:val="32"/>
          <w:szCs w:val="32"/>
        </w:rPr>
        <w:t>（一）加强理论学习，增强依法</w:t>
      </w:r>
      <w:r>
        <w:rPr>
          <w:rStyle w:val="14"/>
          <w:rFonts w:hint="eastAsia" w:ascii="楷体" w:hAnsi="楷体" w:eastAsia="楷体"/>
          <w:b/>
          <w:bCs/>
          <w:color w:val="333333"/>
          <w:sz w:val="32"/>
          <w:szCs w:val="32"/>
          <w:lang w:val="en-US" w:eastAsia="zh-CN"/>
        </w:rPr>
        <w:t>营商</w:t>
      </w:r>
      <w:r>
        <w:rPr>
          <w:rStyle w:val="14"/>
          <w:rFonts w:hint="eastAsia" w:ascii="楷体" w:hAnsi="楷体" w:eastAsia="楷体"/>
          <w:b/>
          <w:bCs/>
          <w:color w:val="333333"/>
          <w:sz w:val="32"/>
          <w:szCs w:val="32"/>
        </w:rPr>
        <w:t>意识</w:t>
      </w:r>
    </w:p>
    <w:p>
      <w:pPr>
        <w:pStyle w:val="13"/>
        <w:shd w:val="clear" w:color="auto" w:fill="FFFFFF"/>
        <w:spacing w:before="0" w:beforeAutospacing="0" w:after="0" w:afterAutospacing="0" w:line="600" w:lineRule="atLeast"/>
        <w:ind w:firstLine="624" w:firstLineChars="195"/>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深入学习贯彻习近平总书记关于优化营商环境工作的重要讲话和重要指示批示精神，推动《意见》《办法》《规定》等法律法规再学习、再认识、再落实，压实防范和惩治弄虚作假的政治责任，牢牢守住防范和惩治造假、弄虚作假的工作底线，确保中央、国务院关于营商工作的决策部署和市营商环境建设监督局政策措施落实落细。</w:t>
      </w:r>
    </w:p>
    <w:p>
      <w:pPr>
        <w:ind w:firstLine="640" w:firstLineChars="200"/>
        <w:rPr>
          <w:rFonts w:ascii="楷体" w:hAnsi="楷体" w:eastAsia="楷体"/>
          <w:sz w:val="32"/>
          <w:szCs w:val="32"/>
        </w:rPr>
      </w:pPr>
      <w:r>
        <w:rPr>
          <w:rFonts w:hint="eastAsia" w:ascii="楷体" w:hAnsi="楷体" w:eastAsia="楷体"/>
          <w:sz w:val="32"/>
          <w:szCs w:val="32"/>
        </w:rPr>
        <w:t>（二）加强业务培训，提升业务能力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结合各专业实际情况，定期开展企业</w:t>
      </w:r>
      <w:r>
        <w:rPr>
          <w:rFonts w:hint="eastAsia" w:ascii="仿宋" w:hAnsi="仿宋" w:eastAsia="仿宋"/>
          <w:sz w:val="32"/>
          <w:szCs w:val="32"/>
          <w:lang w:val="en-US" w:eastAsia="zh-CN"/>
        </w:rPr>
        <w:t>商会</w:t>
      </w:r>
      <w:r>
        <w:rPr>
          <w:rFonts w:hint="eastAsia" w:ascii="仿宋" w:hAnsi="仿宋" w:eastAsia="仿宋"/>
          <w:sz w:val="32"/>
          <w:szCs w:val="32"/>
        </w:rPr>
        <w:t>负责人员</w:t>
      </w:r>
      <w:r>
        <w:rPr>
          <w:rFonts w:hint="eastAsia" w:ascii="仿宋" w:hAnsi="仿宋" w:eastAsia="仿宋"/>
          <w:sz w:val="32"/>
          <w:szCs w:val="32"/>
          <w:lang w:val="en-US" w:eastAsia="zh-CN"/>
        </w:rPr>
        <w:t>及各专班负责人员</w:t>
      </w:r>
      <w:r>
        <w:rPr>
          <w:rFonts w:hint="eastAsia" w:ascii="仿宋" w:hAnsi="仿宋" w:eastAsia="仿宋"/>
          <w:sz w:val="32"/>
          <w:szCs w:val="32"/>
        </w:rPr>
        <w:t>培训班，利用年报会、业务培训会把</w:t>
      </w:r>
      <w:r>
        <w:rPr>
          <w:rFonts w:hint="eastAsia" w:ascii="仿宋" w:hAnsi="仿宋" w:eastAsia="仿宋"/>
          <w:sz w:val="32"/>
          <w:szCs w:val="32"/>
          <w:lang w:val="en-US" w:eastAsia="zh-CN"/>
        </w:rPr>
        <w:t>营商</w:t>
      </w:r>
      <w:r>
        <w:rPr>
          <w:rFonts w:hint="eastAsia" w:ascii="仿宋" w:hAnsi="仿宋" w:eastAsia="仿宋"/>
          <w:sz w:val="32"/>
          <w:szCs w:val="32"/>
        </w:rPr>
        <w:t>报表的指标填报讲深讲透。并加大下企业次数</w:t>
      </w:r>
      <w:bookmarkStart w:id="0" w:name="_GoBack"/>
      <w:bookmarkEnd w:id="0"/>
      <w:r>
        <w:rPr>
          <w:rFonts w:hint="eastAsia" w:ascii="仿宋" w:hAnsi="仿宋" w:eastAsia="仿宋"/>
          <w:sz w:val="32"/>
          <w:szCs w:val="32"/>
        </w:rPr>
        <w:t>，现场对</w:t>
      </w:r>
      <w:r>
        <w:rPr>
          <w:rFonts w:hint="eastAsia" w:ascii="仿宋" w:hAnsi="仿宋" w:eastAsia="仿宋"/>
          <w:sz w:val="32"/>
          <w:szCs w:val="32"/>
          <w:lang w:val="en-US" w:eastAsia="zh-CN"/>
        </w:rPr>
        <w:t>负责人员</w:t>
      </w:r>
      <w:r>
        <w:rPr>
          <w:rFonts w:hint="eastAsia" w:ascii="仿宋" w:hAnsi="仿宋" w:eastAsia="仿宋"/>
          <w:sz w:val="32"/>
          <w:szCs w:val="32"/>
        </w:rPr>
        <w:t>的工作规范性及指标理解进行指导，发现问题当场指出，面对面指导、手把手培训，进一步提升企业负责人和</w:t>
      </w:r>
      <w:r>
        <w:rPr>
          <w:rFonts w:hint="eastAsia" w:ascii="仿宋" w:hAnsi="仿宋" w:eastAsia="仿宋"/>
          <w:sz w:val="32"/>
          <w:szCs w:val="32"/>
          <w:lang w:val="en-US" w:eastAsia="zh-CN"/>
        </w:rPr>
        <w:t>各专班负责人员</w:t>
      </w:r>
      <w:r>
        <w:rPr>
          <w:rFonts w:hint="eastAsia" w:ascii="仿宋" w:hAnsi="仿宋" w:eastAsia="仿宋"/>
          <w:sz w:val="32"/>
          <w:szCs w:val="32"/>
        </w:rPr>
        <w:t>的业务素质，确保</w:t>
      </w:r>
      <w:r>
        <w:rPr>
          <w:rFonts w:hint="eastAsia" w:ascii="仿宋" w:hAnsi="仿宋" w:eastAsia="仿宋"/>
          <w:sz w:val="32"/>
          <w:szCs w:val="32"/>
          <w:lang w:val="en-US" w:eastAsia="zh-CN"/>
        </w:rPr>
        <w:t>营商活动</w:t>
      </w:r>
      <w:r>
        <w:rPr>
          <w:rFonts w:hint="eastAsia" w:ascii="仿宋" w:hAnsi="仿宋" w:eastAsia="仿宋"/>
          <w:sz w:val="32"/>
          <w:szCs w:val="32"/>
        </w:rPr>
        <w:t>质量。</w:t>
      </w:r>
      <w:r>
        <w:rPr>
          <w:rFonts w:hint="default" w:ascii="Times New Roman" w:hAnsi="Times New Roman" w:eastAsia="仿宋_GB2312" w:cs="Times New Roman"/>
          <w:sz w:val="32"/>
          <w:szCs w:val="32"/>
          <w:lang w:val="en-US" w:eastAsia="zh-CN"/>
        </w:rPr>
        <w:t>制定《2024年前进区优化营商环境专项行动方案》《2024年前进区优化营商环境专项行动制度》，筹备建立前进区专项行动考核机制，晾晒各部门工作成果。</w:t>
      </w:r>
    </w:p>
    <w:p>
      <w:pPr>
        <w:ind w:firstLine="480" w:firstLineChars="150"/>
        <w:rPr>
          <w:rFonts w:ascii="楷体" w:hAnsi="楷体" w:eastAsia="楷体"/>
          <w:sz w:val="32"/>
          <w:szCs w:val="32"/>
        </w:rPr>
      </w:pPr>
      <w:r>
        <w:rPr>
          <w:rFonts w:hint="eastAsia" w:ascii="楷体" w:hAnsi="楷体" w:eastAsia="楷体"/>
          <w:sz w:val="32"/>
          <w:szCs w:val="32"/>
        </w:rPr>
        <w:t>（三）加大</w:t>
      </w:r>
      <w:r>
        <w:rPr>
          <w:rFonts w:hint="eastAsia" w:ascii="楷体" w:hAnsi="楷体" w:eastAsia="楷体"/>
          <w:sz w:val="32"/>
          <w:szCs w:val="32"/>
          <w:lang w:val="en-US" w:eastAsia="zh-CN"/>
        </w:rPr>
        <w:t>监督</w:t>
      </w:r>
      <w:r>
        <w:rPr>
          <w:rFonts w:hint="eastAsia" w:ascii="楷体" w:hAnsi="楷体" w:eastAsia="楷体"/>
          <w:sz w:val="32"/>
          <w:szCs w:val="32"/>
        </w:rPr>
        <w:t>力度，发挥法治作用</w:t>
      </w:r>
    </w:p>
    <w:p>
      <w:pPr>
        <w:ind w:firstLine="640" w:firstLineChars="200"/>
        <w:rPr>
          <w:rFonts w:hint="default" w:ascii="仿宋" w:hAnsi="仿宋" w:eastAsia="仿宋"/>
          <w:sz w:val="32"/>
          <w:szCs w:val="32"/>
          <w:highlight w:val="yellow"/>
          <w:lang w:val="en-US" w:eastAsia="zh-CN"/>
        </w:rPr>
      </w:pPr>
      <w:r>
        <w:rPr>
          <w:rFonts w:hint="default" w:ascii="Times New Roman" w:hAnsi="Times New Roman" w:eastAsia="仿宋_GB2312" w:cs="Times New Roman"/>
          <w:sz w:val="32"/>
          <w:szCs w:val="32"/>
          <w:lang w:val="en-US" w:eastAsia="zh-CN"/>
        </w:rPr>
        <w:t>加强落实领导包抓制度，提高领导包联走访率和会商会办率，加强解决项目难题效率，2024年预计领导包联走访率、会商会办率、解决项目难题数量同比增长150%。加大对区直各部门“双公示”数据录入及时性的督导力度。避免产生迟报漏报情况，建立周数据台账，制定月报公示各部门数据报送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确保及时率达到98%以上。</w:t>
      </w:r>
      <w:r>
        <w:rPr>
          <w:rFonts w:hint="eastAsia" w:ascii="Times New Roman" w:hAnsi="Times New Roman" w:eastAsia="仿宋_GB2312" w:cs="Times New Roman"/>
          <w:sz w:val="32"/>
          <w:szCs w:val="32"/>
          <w:lang w:val="en-US" w:eastAsia="zh-CN"/>
        </w:rPr>
        <w:t>为佳木斯营商环境的进一步优化，法治政府的进一步巩固，经济环境的进一步发展，贡献营商力量。</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jc w:val="right"/>
        <w:rPr>
          <w:rFonts w:hint="eastAsia" w:ascii="仿宋" w:hAnsi="仿宋" w:eastAsia="仿宋"/>
          <w:sz w:val="32"/>
          <w:szCs w:val="32"/>
          <w:lang w:val="en-US" w:eastAsia="zh-CN"/>
        </w:rPr>
      </w:pPr>
      <w:r>
        <w:rPr>
          <w:rFonts w:hint="eastAsia" w:ascii="仿宋" w:hAnsi="仿宋" w:eastAsia="仿宋"/>
          <w:sz w:val="32"/>
          <w:szCs w:val="32"/>
        </w:rPr>
        <w:t>前进区</w:t>
      </w:r>
      <w:r>
        <w:rPr>
          <w:rFonts w:hint="eastAsia" w:ascii="仿宋" w:hAnsi="仿宋" w:eastAsia="仿宋"/>
          <w:sz w:val="32"/>
          <w:szCs w:val="32"/>
          <w:lang w:val="en-US" w:eastAsia="zh-CN"/>
        </w:rPr>
        <w:t>营商环境建设监督局</w:t>
      </w:r>
    </w:p>
    <w:p>
      <w:pPr>
        <w:ind w:firstLine="4480" w:firstLineChars="14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2024年1月</w:t>
      </w:r>
      <w:r>
        <w:rPr>
          <w:rFonts w:hint="eastAsia" w:ascii="仿宋" w:hAnsi="仿宋" w:eastAsia="仿宋"/>
          <w:sz w:val="32"/>
          <w:szCs w:val="32"/>
          <w:lang w:val="en-US" w:eastAsia="zh-CN"/>
        </w:rPr>
        <w:t>26</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2982"/>
    <w:multiLevelType w:val="singleLevel"/>
    <w:tmpl w:val="80AE29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ODgyOTI1ZGRjMmI2YTg0ODFjNTEwZGY4Y2EzNGEifQ=="/>
  </w:docVars>
  <w:rsids>
    <w:rsidRoot w:val="00093A79"/>
    <w:rsid w:val="00093A79"/>
    <w:rsid w:val="001215F2"/>
    <w:rsid w:val="001E01C3"/>
    <w:rsid w:val="00264D21"/>
    <w:rsid w:val="002E3733"/>
    <w:rsid w:val="004D1F5A"/>
    <w:rsid w:val="0053060F"/>
    <w:rsid w:val="005574A3"/>
    <w:rsid w:val="005C59D7"/>
    <w:rsid w:val="00684901"/>
    <w:rsid w:val="00690784"/>
    <w:rsid w:val="00784E3D"/>
    <w:rsid w:val="00834E47"/>
    <w:rsid w:val="008366B5"/>
    <w:rsid w:val="00893E6F"/>
    <w:rsid w:val="008C0EBD"/>
    <w:rsid w:val="00A52C53"/>
    <w:rsid w:val="00A97CDF"/>
    <w:rsid w:val="00AF5375"/>
    <w:rsid w:val="00B050EE"/>
    <w:rsid w:val="00B90991"/>
    <w:rsid w:val="00C50939"/>
    <w:rsid w:val="00C857EB"/>
    <w:rsid w:val="00E54D7A"/>
    <w:rsid w:val="00ED60A5"/>
    <w:rsid w:val="00EF6D75"/>
    <w:rsid w:val="00F10529"/>
    <w:rsid w:val="0B467E37"/>
    <w:rsid w:val="0CF663BB"/>
    <w:rsid w:val="0D8E53D8"/>
    <w:rsid w:val="1F047610"/>
    <w:rsid w:val="20FA52B1"/>
    <w:rsid w:val="227D55A4"/>
    <w:rsid w:val="28726EEF"/>
    <w:rsid w:val="314D2A6F"/>
    <w:rsid w:val="3E5007A6"/>
    <w:rsid w:val="3F2A77CA"/>
    <w:rsid w:val="406D4627"/>
    <w:rsid w:val="41820F87"/>
    <w:rsid w:val="45E15AD3"/>
    <w:rsid w:val="464C0D8D"/>
    <w:rsid w:val="4A93018D"/>
    <w:rsid w:val="4BCF4055"/>
    <w:rsid w:val="4C69359F"/>
    <w:rsid w:val="65F067C8"/>
    <w:rsid w:val="6BAB3D14"/>
    <w:rsid w:val="6BBA3B00"/>
    <w:rsid w:val="75E9516B"/>
    <w:rsid w:val="78CB12BA"/>
    <w:rsid w:val="793A0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99"/>
    <w:rPr>
      <w:rFonts w:ascii="宋体" w:hAnsi="Courier New" w:cs="Courier New"/>
      <w:sz w:val="21"/>
      <w:szCs w:val="21"/>
    </w:rPr>
  </w:style>
  <w:style w:type="table" w:styleId="4">
    <w:name w:val="Table Grid"/>
    <w:basedOn w:val="3"/>
    <w:autoRedefine/>
    <w:qFormat/>
    <w:uiPriority w:val="0"/>
    <w:pPr>
      <w:spacing w:line="425"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22"/>
    <w:rPr>
      <w:b/>
      <w:bCs/>
    </w:rPr>
  </w:style>
  <w:style w:type="character" w:styleId="7">
    <w:name w:val="Hyperlink"/>
    <w:basedOn w:val="5"/>
    <w:autoRedefine/>
    <w:unhideWhenUsed/>
    <w:qFormat/>
    <w:uiPriority w:val="99"/>
    <w:rPr>
      <w:color w:val="0000FF"/>
      <w:u w:val="single"/>
    </w:rPr>
  </w:style>
  <w:style w:type="paragraph" w:customStyle="1" w:styleId="8">
    <w:name w:val="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autoRedefine/>
    <w:qFormat/>
    <w:uiPriority w:val="34"/>
    <w:pPr>
      <w:ind w:firstLine="420" w:firstLineChars="200"/>
    </w:pPr>
  </w:style>
  <w:style w:type="paragraph" w:customStyle="1" w:styleId="11">
    <w:name w:val="Normal"/>
    <w:autoRedefine/>
    <w:qFormat/>
    <w:uiPriority w:val="0"/>
    <w:pPr>
      <w:jc w:val="both"/>
    </w:pPr>
    <w:rPr>
      <w:rFonts w:ascii="Calibri" w:hAnsi="Calibri" w:eastAsia="宋体" w:cs="宋体"/>
      <w:kern w:val="2"/>
      <w:sz w:val="21"/>
      <w:szCs w:val="21"/>
      <w:lang w:val="en-US" w:eastAsia="zh-CN" w:bidi="ar-SA"/>
    </w:rPr>
  </w:style>
  <w:style w:type="character" w:customStyle="1" w:styleId="12">
    <w:name w:val="15"/>
    <w:basedOn w:val="5"/>
    <w:autoRedefine/>
    <w:qFormat/>
    <w:uiPriority w:val="0"/>
    <w:rPr>
      <w:rFonts w:hint="default" w:ascii="Calibri" w:hAnsi="Calibri"/>
      <w:color w:val="0000FF"/>
      <w:u w:val="single"/>
    </w:rPr>
  </w:style>
  <w:style w:type="paragraph" w:customStyle="1" w:styleId="13">
    <w:name w:val="p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b-free-read-leaf"/>
    <w:basedOn w:val="5"/>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395</Words>
  <Characters>2253</Characters>
  <Lines>18</Lines>
  <Paragraphs>5</Paragraphs>
  <TotalTime>9</TotalTime>
  <ScaleCrop>false</ScaleCrop>
  <LinksUpToDate>false</LinksUpToDate>
  <CharactersWithSpaces>2643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2024-01-16T08:24:00Z</dcterms:created>
  <dc:creator>Windows 用户</dc:creator>
  <cp:lastModifiedBy>happy</cp:lastModifiedBy>
  <dcterms:modified xsi:type="dcterms:W3CDTF">2024-01-29T00:34:48Z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3516797B63F94E4C9627217BD2734FD1_13</vt:lpwstr>
  </property>
</Properties>
</file>