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E877A">
      <w:pPr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佳木斯市前进区人民政府关于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2025</w:t>
      </w:r>
      <w:r>
        <w:rPr>
          <w:rFonts w:eastAsia="方正小标宋简体" w:cs="Times New Roman"/>
          <w:sz w:val="44"/>
          <w:szCs w:val="44"/>
        </w:rPr>
        <w:t>年度</w:t>
      </w:r>
    </w:p>
    <w:p w14:paraId="40078AB0">
      <w:pPr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法治政府建设情况的报告</w:t>
      </w:r>
    </w:p>
    <w:p w14:paraId="4A0FF180">
      <w:pPr>
        <w:ind w:firstLine="0" w:firstLineChars="0"/>
        <w:jc w:val="center"/>
        <w:rPr>
          <w:rFonts w:hint="default" w:ascii="楷体_GB2312" w:hAnsi="楷体_GB2312" w:eastAsia="楷体_GB2312" w:cs="楷体_GB2312"/>
          <w:lang w:val="en-US" w:eastAsia="zh-CN"/>
        </w:rPr>
      </w:pPr>
    </w:p>
    <w:p w14:paraId="3FE612B9">
      <w:pPr>
        <w:autoSpaceDN w:val="0"/>
        <w:ind w:firstLine="640"/>
        <w:rPr>
          <w:rFonts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2025</w:t>
      </w:r>
      <w:r>
        <w:rPr>
          <w:rFonts w:eastAsia="仿宋_GB2312" w:cs="Times New Roman"/>
          <w:szCs w:val="32"/>
        </w:rPr>
        <w:t>年，前进区政府在市委、市政府和区委的正确领导下，坚持以习近平法治思想为指导，统筹推进依法行政和法治政府建设各项工作，不断开创法治政府建设新局面。现将有关情况报告如下：</w:t>
      </w:r>
    </w:p>
    <w:p w14:paraId="7AFA8E52">
      <w:pPr>
        <w:autoSpaceDN w:val="0"/>
        <w:ind w:firstLine="640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一、</w:t>
      </w:r>
      <w:r>
        <w:rPr>
          <w:rFonts w:hint="default" w:ascii="Times New Roman" w:hAnsi="Times New Roman" w:eastAsia="黑体" w:cs="Times New Roman"/>
          <w:szCs w:val="32"/>
        </w:rPr>
        <w:t>2025</w:t>
      </w:r>
      <w:r>
        <w:rPr>
          <w:rFonts w:eastAsia="黑体" w:cs="Times New Roman"/>
          <w:szCs w:val="32"/>
        </w:rPr>
        <w:t>年推进法治政府建设的主要举措和成效</w:t>
      </w:r>
    </w:p>
    <w:p w14:paraId="324A2DFA">
      <w:pPr>
        <w:ind w:firstLine="643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eastAsia="楷体" w:cs="Times New Roman"/>
          <w:b/>
          <w:bCs/>
          <w:szCs w:val="32"/>
        </w:rPr>
        <w:t>（一）</w:t>
      </w:r>
      <w:r>
        <w:rPr>
          <w:rFonts w:eastAsia="楷体" w:cs="Times New Roman"/>
          <w:b/>
          <w:bCs/>
          <w:szCs w:val="32"/>
        </w:rPr>
        <w:t>坚持依法行政，推进政府科学民主决策。</w:t>
      </w:r>
      <w:r>
        <w:rPr>
          <w:rFonts w:hint="eastAsia" w:ascii="仿宋_GB2312" w:hAnsi="仿宋_GB2312" w:eastAsia="仿宋_GB2312" w:cs="仿宋_GB2312"/>
          <w:b/>
          <w:szCs w:val="32"/>
        </w:rPr>
        <w:t>一是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推进科学民主立法。</w:t>
      </w:r>
      <w:r>
        <w:rPr>
          <w:rFonts w:hint="eastAsia" w:ascii="仿宋_GB2312" w:hAnsi="仿宋_GB2312" w:eastAsia="仿宋_GB2312" w:cs="仿宋_GB2312"/>
          <w:szCs w:val="32"/>
        </w:rPr>
        <w:t>设置基层立法联系点</w:t>
      </w:r>
      <w:r>
        <w:rPr>
          <w:rFonts w:hint="default" w:ascii="Times New Roman" w:hAnsi="Times New Roman" w:eastAsia="仿宋_GB2312" w:cs="Times New Roman"/>
          <w:szCs w:val="32"/>
        </w:rPr>
        <w:t>2</w:t>
      </w:r>
      <w:r>
        <w:rPr>
          <w:rFonts w:hint="eastAsia" w:ascii="仿宋_GB2312" w:hAnsi="仿宋_GB2312" w:eastAsia="仿宋_GB2312" w:cs="仿宋_GB2312"/>
          <w:szCs w:val="32"/>
        </w:rPr>
        <w:t>个，扩大基层群众参与。</w:t>
      </w:r>
      <w:r>
        <w:rPr>
          <w:rFonts w:hint="eastAsia" w:eastAsia="仿宋_GB2312" w:cs="Times New Roman"/>
          <w:color w:val="000000"/>
          <w:szCs w:val="32"/>
        </w:rPr>
        <w:t>加强规范性文件审查备案与清理，</w:t>
      </w:r>
      <w:r>
        <w:rPr>
          <w:rFonts w:eastAsia="仿宋_GB2312" w:cs="Times New Roman"/>
          <w:color w:val="000000"/>
          <w:szCs w:val="32"/>
        </w:rPr>
        <w:t>严格履行重大事项合法性审核程序</w:t>
      </w:r>
      <w:r>
        <w:rPr>
          <w:rFonts w:hint="eastAsia" w:eastAsia="仿宋_GB2312" w:cs="Times New Roman"/>
          <w:color w:val="000000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扎实推进巡视巡察、审计监督和各类专项督察反馈问题整改，自觉接受人大法律监督、政协民主监督、社会舆论监督，办理区人大代表建议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件，区政协委员提案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办复率、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满意率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均达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  <w:r>
        <w:rPr>
          <w:rFonts w:hint="eastAsia" w:eastAsia="仿宋_GB2312" w:cs="Times New Roman"/>
          <w:b/>
          <w:bCs/>
          <w:szCs w:val="32"/>
        </w:rPr>
        <w:t>二</w:t>
      </w:r>
      <w:r>
        <w:rPr>
          <w:rFonts w:eastAsia="仿宋_GB2312" w:cs="Times New Roman"/>
          <w:b/>
          <w:bCs/>
          <w:szCs w:val="32"/>
        </w:rPr>
        <w:t>是</w:t>
      </w:r>
      <w:r>
        <w:rPr>
          <w:rFonts w:hint="eastAsia" w:eastAsia="仿宋_GB2312" w:cs="Times New Roman"/>
          <w:b/>
          <w:bCs/>
          <w:szCs w:val="32"/>
        </w:rPr>
        <w:t>强化法律顾问赋能</w:t>
      </w:r>
      <w:r>
        <w:rPr>
          <w:rFonts w:eastAsia="仿宋_GB2312" w:cs="Times New Roman"/>
          <w:b/>
          <w:bCs/>
          <w:szCs w:val="32"/>
        </w:rPr>
        <w:t>。</w:t>
      </w:r>
      <w:r>
        <w:rPr>
          <w:rFonts w:eastAsia="仿宋_GB2312" w:cs="Times New Roman"/>
          <w:color w:val="000000"/>
          <w:szCs w:val="32"/>
        </w:rPr>
        <w:t>积极推动法律顾问体系常态化，</w:t>
      </w:r>
      <w:r>
        <w:rPr>
          <w:rFonts w:eastAsia="仿宋_GB2312" w:cs="Times New Roman"/>
          <w:color w:val="111111"/>
          <w:szCs w:val="32"/>
        </w:rPr>
        <w:t>发挥政府法律顾问在政府重大行政决策、文件审查</w:t>
      </w:r>
      <w:r>
        <w:rPr>
          <w:rFonts w:hint="eastAsia" w:eastAsia="仿宋_GB2312" w:cs="Times New Roman"/>
          <w:color w:val="111111"/>
          <w:szCs w:val="32"/>
          <w:lang w:val="en-US" w:eastAsia="zh-CN"/>
        </w:rPr>
        <w:t>等</w:t>
      </w:r>
      <w:r>
        <w:rPr>
          <w:rFonts w:eastAsia="仿宋_GB2312" w:cs="Times New Roman"/>
          <w:color w:val="111111"/>
          <w:szCs w:val="32"/>
        </w:rPr>
        <w:t>的积极作用</w:t>
      </w:r>
      <w:r>
        <w:rPr>
          <w:rFonts w:hint="eastAsia" w:eastAsia="仿宋_GB2312" w:cs="Times New Roman"/>
          <w:color w:val="111111"/>
          <w:szCs w:val="32"/>
          <w:lang w:eastAsia="zh-CN"/>
        </w:rPr>
        <w:t>，</w:t>
      </w:r>
      <w:r>
        <w:rPr>
          <w:rFonts w:eastAsia="仿宋_GB2312" w:cs="Times New Roman"/>
          <w:color w:val="111111"/>
          <w:szCs w:val="32"/>
        </w:rPr>
        <w:t>全年审查全区涉法事宜</w:t>
      </w:r>
      <w:r>
        <w:rPr>
          <w:rFonts w:hint="default" w:ascii="Times New Roman" w:hAnsi="Times New Roman" w:eastAsia="仿宋_GB2312" w:cs="Times New Roman"/>
          <w:color w:val="111111"/>
          <w:szCs w:val="32"/>
        </w:rPr>
        <w:t>2</w:t>
      </w:r>
      <w:r>
        <w:rPr>
          <w:rFonts w:hint="eastAsia" w:eastAsia="仿宋_GB2312" w:cs="Times New Roman"/>
          <w:color w:val="111111"/>
          <w:szCs w:val="32"/>
          <w:lang w:val="en-US" w:eastAsia="zh-CN"/>
        </w:rPr>
        <w:t>4</w:t>
      </w:r>
      <w:r>
        <w:rPr>
          <w:rFonts w:eastAsia="仿宋_GB2312" w:cs="Times New Roman"/>
          <w:color w:val="111111"/>
          <w:szCs w:val="32"/>
        </w:rPr>
        <w:t>件</w:t>
      </w:r>
      <w:r>
        <w:rPr>
          <w:rFonts w:eastAsia="仿宋_GB2312" w:cs="Times New Roman"/>
          <w:color w:val="000000"/>
          <w:szCs w:val="32"/>
        </w:rPr>
        <w:t>，确保每项决策部署内容合法、程序合规。</w:t>
      </w:r>
      <w:r>
        <w:rPr>
          <w:rFonts w:hint="eastAsia" w:eastAsia="仿宋_GB2312" w:cs="Times New Roman"/>
          <w:color w:val="111111"/>
          <w:szCs w:val="32"/>
        </w:rPr>
        <w:t>三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是发挥行政复议功能作用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32"/>
        </w:rPr>
        <w:t>。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发挥</w:t>
      </w:r>
      <w:r>
        <w:rPr>
          <w:rFonts w:hint="eastAsia" w:ascii="仿宋_GB2312" w:hAnsi="仿宋_GB2312" w:eastAsia="仿宋_GB2312" w:cs="仿宋_GB2312"/>
          <w:szCs w:val="32"/>
        </w:rPr>
        <w:t>行政复议化解行政争议主渠道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作用</w:t>
      </w:r>
      <w:r>
        <w:rPr>
          <w:rFonts w:hint="eastAsia" w:ascii="仿宋_GB2312" w:hAnsi="仿宋_GB2312" w:eastAsia="仿宋_GB2312" w:cs="仿宋_GB2312"/>
          <w:szCs w:val="32"/>
        </w:rPr>
        <w:t>，行政争议案件化解率达</w:t>
      </w:r>
      <w:r>
        <w:rPr>
          <w:rFonts w:hint="default" w:ascii="Times New Roman" w:hAnsi="Times New Roman" w:eastAsia="仿宋_GB2312" w:cs="Times New Roman"/>
          <w:szCs w:val="32"/>
        </w:rPr>
        <w:t>100</w:t>
      </w:r>
      <w:r>
        <w:rPr>
          <w:rFonts w:hint="eastAsia" w:ascii="仿宋_GB2312" w:hAnsi="仿宋_GB2312" w:eastAsia="仿宋_GB2312" w:cs="仿宋_GB2312"/>
          <w:szCs w:val="32"/>
        </w:rPr>
        <w:t>%。优化复议受理服务，全年接收行政复议申请</w:t>
      </w:r>
      <w:r>
        <w:rPr>
          <w:rFonts w:hint="default" w:ascii="仿宋_GB2312" w:hAnsi="仿宋_GB2312" w:eastAsia="仿宋_GB2312" w:cs="仿宋_GB2312"/>
          <w:szCs w:val="32"/>
          <w:lang w:val="en-US"/>
        </w:rPr>
        <w:t>41</w:t>
      </w:r>
      <w:r>
        <w:rPr>
          <w:rFonts w:hint="eastAsia" w:ascii="仿宋_GB2312" w:hAnsi="仿宋_GB2312" w:eastAsia="仿宋_GB2312" w:cs="仿宋_GB2312"/>
          <w:szCs w:val="32"/>
        </w:rPr>
        <w:t>件，行政诉讼案件负责人出庭应诉率</w:t>
      </w:r>
      <w:r>
        <w:rPr>
          <w:rFonts w:hint="default" w:ascii="Times New Roman" w:hAnsi="Times New Roman" w:eastAsia="仿宋_GB2312" w:cs="Times New Roman"/>
          <w:szCs w:val="32"/>
        </w:rPr>
        <w:t>100</w:t>
      </w:r>
      <w:r>
        <w:rPr>
          <w:rFonts w:hint="eastAsia" w:ascii="仿宋_GB2312" w:hAnsi="仿宋_GB2312" w:eastAsia="仿宋_GB2312" w:cs="仿宋_GB2312"/>
          <w:szCs w:val="32"/>
        </w:rPr>
        <w:t>%，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切实</w:t>
      </w:r>
      <w:r>
        <w:rPr>
          <w:rFonts w:hint="eastAsia" w:ascii="仿宋_GB2312" w:hAnsi="仿宋_GB2312" w:eastAsia="仿宋_GB2312" w:cs="仿宋_GB2312"/>
          <w:szCs w:val="32"/>
        </w:rPr>
        <w:t>强化行政机关依法履职意识。</w:t>
      </w:r>
    </w:p>
    <w:p w14:paraId="774263F9">
      <w:pPr>
        <w:spacing w:line="560" w:lineRule="exact"/>
        <w:ind w:firstLine="643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eastAsia="楷体" w:cs="Times New Roman"/>
          <w:b/>
          <w:bCs/>
          <w:szCs w:val="32"/>
        </w:rPr>
        <w:t>（二）</w:t>
      </w:r>
      <w:r>
        <w:rPr>
          <w:rFonts w:eastAsia="楷体" w:cs="Times New Roman"/>
          <w:b/>
          <w:bCs/>
          <w:szCs w:val="32"/>
        </w:rPr>
        <w:t>加强执法监督，严格规范公正文明执法。</w:t>
      </w:r>
      <w:r>
        <w:rPr>
          <w:rFonts w:hint="eastAsia" w:eastAsia="仿宋_GB2312" w:cs="Times New Roman"/>
          <w:b/>
          <w:bCs/>
          <w:color w:val="111111"/>
          <w:szCs w:val="32"/>
        </w:rPr>
        <w:t>一是加大行政</w:t>
      </w:r>
      <w:r>
        <w:rPr>
          <w:rFonts w:eastAsia="仿宋_GB2312" w:cs="Times New Roman"/>
          <w:b/>
          <w:bCs/>
          <w:color w:val="111111"/>
          <w:szCs w:val="32"/>
        </w:rPr>
        <w:t>执法监督</w:t>
      </w:r>
      <w:r>
        <w:rPr>
          <w:rFonts w:hint="eastAsia" w:eastAsia="仿宋_GB2312" w:cs="Times New Roman"/>
          <w:b/>
          <w:bCs/>
          <w:color w:val="111111"/>
          <w:szCs w:val="32"/>
        </w:rPr>
        <w:t>力度</w:t>
      </w:r>
      <w:r>
        <w:rPr>
          <w:rFonts w:eastAsia="仿宋_GB2312" w:cs="Times New Roman"/>
          <w:b/>
          <w:bCs/>
          <w:color w:val="111111"/>
          <w:szCs w:val="32"/>
        </w:rPr>
        <w:t>。</w:t>
      </w:r>
      <w:bookmarkStart w:id="0" w:name="OLE_LINK10"/>
      <w:bookmarkStart w:id="1" w:name="OLE_LINK11"/>
      <w:r>
        <w:rPr>
          <w:rFonts w:hint="eastAsia" w:ascii="仿宋_GB2312" w:hAnsi="仿宋_GB2312" w:eastAsia="仿宋_GB2312" w:cs="仿宋_GB2312"/>
          <w:szCs w:val="32"/>
        </w:rPr>
        <w:t>在区政务服务大厅设立“执法监督窗口”，构建综合性服务平台，切实实现企业诉求“一窗通办”，</w:t>
      </w:r>
      <w:r>
        <w:rPr>
          <w:rFonts w:ascii="仿宋_GB2312" w:hAnsi="仿宋_GB2312" w:eastAsia="仿宋_GB2312" w:cs="仿宋_GB2312"/>
          <w:szCs w:val="32"/>
        </w:rPr>
        <w:t>建立“接诉即办、限时办结、全程跟踪”的闭环处理机制</w:t>
      </w:r>
      <w:bookmarkEnd w:id="0"/>
      <w:bookmarkEnd w:id="1"/>
      <w:r>
        <w:rPr>
          <w:rFonts w:hint="eastAsia" w:eastAsia="仿宋_GB2312" w:cs="Times New Roman"/>
          <w:szCs w:val="32"/>
        </w:rPr>
        <w:t>，</w:t>
      </w:r>
      <w:r>
        <w:rPr>
          <w:rFonts w:hint="eastAsia" w:ascii="仿宋_GB2312" w:hAnsi="仿宋_GB2312" w:eastAsia="仿宋_GB2312" w:cs="仿宋_GB2312"/>
          <w:szCs w:val="32"/>
        </w:rPr>
        <w:t>通过多渠道排查核实问题</w:t>
      </w:r>
      <w:r>
        <w:rPr>
          <w:rFonts w:hint="default" w:ascii="Times New Roman" w:hAnsi="Times New Roman" w:eastAsia="仿宋_GB2312" w:cs="Times New Roman"/>
          <w:szCs w:val="32"/>
        </w:rPr>
        <w:t>15</w:t>
      </w:r>
      <w:r>
        <w:rPr>
          <w:rFonts w:hint="eastAsia" w:ascii="仿宋_GB2312" w:hAnsi="仿宋_GB2312" w:eastAsia="仿宋_GB2312" w:cs="仿宋_GB2312"/>
          <w:szCs w:val="32"/>
        </w:rPr>
        <w:t>件，均已全部整改到位。</w:t>
      </w:r>
      <w:r>
        <w:rPr>
          <w:rFonts w:eastAsia="仿宋_GB2312" w:cs="Times New Roman"/>
          <w:b/>
          <w:bCs/>
          <w:szCs w:val="32"/>
        </w:rPr>
        <w:t>二是形成</w:t>
      </w:r>
      <w:r>
        <w:rPr>
          <w:rFonts w:hint="eastAsia" w:eastAsia="仿宋_GB2312" w:cs="Times New Roman"/>
          <w:b/>
          <w:bCs/>
          <w:szCs w:val="32"/>
        </w:rPr>
        <w:t>规范行政执法行为。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全面推行行政执法“三项制度”，规范自由裁量权，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实行“亮码入企”，开展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“推磨式”监督检查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次，推动“综合查一次”联合监管121次，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强化事中事后监管，以严格规范公正文明的执法守护发展品质。</w:t>
      </w:r>
      <w:r>
        <w:rPr>
          <w:rFonts w:hint="eastAsia" w:eastAsia="仿宋_GB2312" w:cs="Times New Roman"/>
          <w:b/>
          <w:bCs/>
          <w:color w:val="111111"/>
          <w:szCs w:val="32"/>
        </w:rPr>
        <w:t>三是</w:t>
      </w:r>
      <w:r>
        <w:rPr>
          <w:rFonts w:eastAsia="仿宋_GB2312" w:cs="Times New Roman"/>
          <w:b/>
          <w:bCs/>
          <w:color w:val="111111"/>
          <w:szCs w:val="32"/>
        </w:rPr>
        <w:t>持续推进数字法治政府建设</w:t>
      </w:r>
      <w:r>
        <w:rPr>
          <w:rFonts w:hint="eastAsia" w:eastAsia="仿宋_GB2312" w:cs="Times New Roman"/>
          <w:b/>
          <w:bCs/>
          <w:color w:val="111111"/>
          <w:szCs w:val="32"/>
        </w:rPr>
        <w:t>。</w:t>
      </w:r>
      <w:r>
        <w:rPr>
          <w:rFonts w:hint="eastAsia" w:ascii="仿宋_GB2312" w:hAnsi="仿宋_GB2312" w:eastAsia="仿宋_GB2312" w:cs="仿宋_GB2312"/>
          <w:szCs w:val="32"/>
        </w:rPr>
        <w:t>持续完善黑龙江省行政执法监督案卷动态管理信息，全年平台录入行政检查案件25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32"/>
        </w:rPr>
        <w:t>件、行政处罚案件8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32"/>
        </w:rPr>
        <w:t>件，行政强制案件3件，行政许可案件3113件。</w:t>
      </w:r>
    </w:p>
    <w:p w14:paraId="60AD7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Cs w:val="32"/>
        </w:rPr>
      </w:pPr>
      <w:r>
        <w:rPr>
          <w:rFonts w:hint="eastAsia" w:cs="Times New Roman"/>
          <w:b/>
          <w:bCs/>
          <w:szCs w:val="32"/>
        </w:rPr>
        <w:t>（三）</w:t>
      </w:r>
      <w:r>
        <w:rPr>
          <w:rFonts w:eastAsia="楷体_GB2312" w:cs="Times New Roman"/>
          <w:b/>
          <w:bCs/>
          <w:szCs w:val="32"/>
        </w:rPr>
        <w:t>优化政府职能，营造高效法治化营商环境。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一是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32"/>
        </w:rPr>
        <w:t>以法治压减流程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强力实施优化营商环境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“一号改革工程”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，推动634项政务服务事项全程网办，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“跨省通办”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事项增至244项，高效承接54类国省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“高效办成一件事”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重点事项，总体效能提升80%以上。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二是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32"/>
        </w:rPr>
        <w:t>以法治助企纾困。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深化分级包联机制，分层级开展“万名干部进万企”和“政商沙龙”活动，常态化走访企业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3365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家，收集解决企业招工难、流动资金短缺等问题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个。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32"/>
        </w:rPr>
        <w:t>三是以法治优化服务。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健全公共法律服务体系，畅通法律援助渠道，全年共受理法援案件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82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在区公共法律服务中心设立民营企业服务窗口，整合资源为企业提供“一站式”法律服务。助企惠企“三大员”、全链条法律服务体系等经验做法获全省通报推广。</w:t>
      </w:r>
    </w:p>
    <w:p w14:paraId="5B8212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eastAsia="楷体" w:cs="Times New Roman"/>
          <w:b/>
          <w:bCs/>
          <w:szCs w:val="32"/>
        </w:rPr>
        <w:t>（四）推进依法治理，维护社会大局和谐稳定。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32"/>
        </w:rPr>
        <w:t>一是健全风险防控法治机制。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从严打击各类突出违法犯罪，破获刑事、治安案件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起。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升级立体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化</w:t>
      </w:r>
      <w:bookmarkStart w:id="3" w:name="_GoBack"/>
      <w:bookmarkEnd w:id="3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防控网络，增设500余处智能监控设备及21处社区警务站，发案率下降8.7%、破案率提升9.2%。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32"/>
        </w:rPr>
        <w:t>二是完善矛盾化解法治路径。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坚持和发展新时代“枫桥经验”，健全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矛盾纠纷多元化解机制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累计整治安全隐患、化解矛盾纠纷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万余件，分获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全市婚姻家庭纠纷人民调解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基层司法所业务技能“大比武”团体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二、三等奖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32"/>
        </w:rPr>
        <w:t>三是提升基层治理法治水平。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高标准建成区街两级综治中心，</w:t>
      </w:r>
      <w:bookmarkStart w:id="2" w:name="OLE_LINK13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配足配强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“两专一兼”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网格队伍1541人</w:t>
      </w:r>
      <w:bookmarkEnd w:id="2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 w:color="auto"/>
          <w:lang w:val="en-US" w:eastAsia="zh-CN"/>
        </w:rPr>
        <w:t>矛盾化解成功率达95%以上。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深入推进信访法治化，弘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扬“四下基层”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优良传统，区级领导带头接访约访107件229人次，推动化解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71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信访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突出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事项，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到省进京越级访总量全市最低。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32"/>
        </w:rPr>
        <w:t>四是营造尊法学法守法用法氛围。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积极探索创建“一街一品”法治品牌，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打造法治文化阵地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sz w:val="32"/>
          <w:szCs w:val="32"/>
        </w:rPr>
        <w:t>构建“谁执法谁普法”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普法</w:t>
      </w:r>
      <w:r>
        <w:rPr>
          <w:rFonts w:hint="eastAsia" w:ascii="仿宋_GB2312" w:eastAsia="仿宋_GB2312"/>
          <w:bCs/>
          <w:sz w:val="32"/>
          <w:szCs w:val="32"/>
        </w:rPr>
        <w:t>责任链条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组织培养“法律明白人”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105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名，实现全区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社区（村）全覆盖。开展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法律七进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普法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活动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余次，发放各类宣传材料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余份。</w:t>
      </w:r>
    </w:p>
    <w:p w14:paraId="464EE754">
      <w:pPr>
        <w:autoSpaceDN w:val="0"/>
        <w:ind w:firstLine="640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二、</w:t>
      </w:r>
      <w:r>
        <w:rPr>
          <w:rFonts w:hint="default" w:ascii="Times New Roman" w:hAnsi="Times New Roman" w:eastAsia="黑体" w:cs="Times New Roman"/>
          <w:szCs w:val="32"/>
        </w:rPr>
        <w:t>2025</w:t>
      </w:r>
      <w:r>
        <w:rPr>
          <w:rFonts w:hint="eastAsia" w:eastAsia="黑体" w:cs="Times New Roman"/>
          <w:szCs w:val="32"/>
        </w:rPr>
        <w:t>年</w:t>
      </w:r>
      <w:r>
        <w:rPr>
          <w:rFonts w:eastAsia="黑体" w:cs="Times New Roman"/>
          <w:szCs w:val="32"/>
        </w:rPr>
        <w:t>党政主要负责人履行推进法治建设第一责任人职责有关情况</w:t>
      </w:r>
    </w:p>
    <w:p w14:paraId="1D39F2AC">
      <w:pPr>
        <w:autoSpaceDN w:val="0"/>
        <w:ind w:firstLine="64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</w:rPr>
        <w:t>一是把牢政治方向。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将习近平法治思想纳入理论学习中心组与党校课程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开展会前学法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次，法治培训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次、受训干部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。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</w:rPr>
        <w:t>二是高位部署推动。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区委常委会、区政府常务会议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研究部署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法治工作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次，制定全面依法治区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工作要点，细化分解重点任务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法治建设成效与考核述职、干部任用、评先创优挂钩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</w:rPr>
        <w:t>三是强化闭环落实。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将法治建设重点任务纳入“四个体系”，定期听取法治建设工作汇报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开展调研督导，对重要事项跟踪问效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推动责任落实、工作走实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。</w:t>
      </w:r>
    </w:p>
    <w:p w14:paraId="0D2A03CD">
      <w:pPr>
        <w:autoSpaceDN w:val="0"/>
        <w:ind w:firstLine="640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三、</w:t>
      </w:r>
      <w:r>
        <w:rPr>
          <w:rFonts w:hint="default" w:ascii="Times New Roman" w:hAnsi="Times New Roman" w:eastAsia="黑体" w:cs="Times New Roman"/>
          <w:szCs w:val="32"/>
        </w:rPr>
        <w:t>2025</w:t>
      </w:r>
      <w:r>
        <w:rPr>
          <w:rFonts w:eastAsia="黑体" w:cs="Times New Roman"/>
          <w:szCs w:val="32"/>
        </w:rPr>
        <w:t>年推进法治政府建设存在的不足和原因</w:t>
      </w:r>
    </w:p>
    <w:p w14:paraId="62A2E736">
      <w:pPr>
        <w:spacing w:line="580" w:lineRule="exact"/>
        <w:ind w:firstLine="640"/>
        <w:rPr>
          <w:rFonts w:hint="eastAsia"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前进区法治政府建设虽取得一定成效，但仍存在差距</w:t>
      </w:r>
      <w:r>
        <w:rPr>
          <w:rFonts w:hint="eastAsia" w:ascii="仿宋_GB2312" w:hAnsi="仿宋_GB2312" w:eastAsia="仿宋_GB2312" w:cs="仿宋_GB2312"/>
          <w:bCs/>
          <w:szCs w:val="32"/>
          <w:lang w:eastAsia="zh-CN"/>
        </w:rPr>
        <w:t>。</w:t>
      </w:r>
      <w:r>
        <w:rPr>
          <w:rFonts w:hint="eastAsia" w:ascii="Times New Roman" w:hAnsi="Times New Roman" w:eastAsia="楷体_GB2312" w:cs="宋体"/>
          <w:szCs w:val="32"/>
        </w:rPr>
        <w:t>一是</w:t>
      </w:r>
      <w:r>
        <w:rPr>
          <w:rFonts w:hint="eastAsia" w:ascii="仿宋_GB2312" w:hAnsi="仿宋_GB2312" w:eastAsia="仿宋_GB2312" w:cs="仿宋_GB2312"/>
          <w:bCs/>
          <w:szCs w:val="32"/>
        </w:rPr>
        <w:t>法治思维深度融合不足，部分干部运用法治方式解决复杂问题的能力有待提升；</w:t>
      </w:r>
      <w:r>
        <w:rPr>
          <w:rFonts w:hint="eastAsia" w:ascii="Times New Roman" w:hAnsi="Times New Roman" w:eastAsia="楷体_GB2312" w:cs="宋体"/>
          <w:szCs w:val="32"/>
        </w:rPr>
        <w:t>二是</w:t>
      </w:r>
      <w:r>
        <w:rPr>
          <w:rFonts w:hint="eastAsia" w:ascii="仿宋_GB2312" w:hAnsi="仿宋_GB2312" w:eastAsia="仿宋_GB2312" w:cs="仿宋_GB2312"/>
          <w:bCs/>
          <w:szCs w:val="32"/>
        </w:rPr>
        <w:t>基层法治力量不均衡，街道、社区法治工作队伍专业化水平参差不齐，应对多元需求能力受限；</w:t>
      </w:r>
      <w:r>
        <w:rPr>
          <w:rFonts w:hint="eastAsia" w:ascii="Times New Roman" w:hAnsi="Times New Roman" w:eastAsia="楷体_GB2312" w:cs="宋体"/>
          <w:szCs w:val="32"/>
        </w:rPr>
        <w:t>三是</w:t>
      </w:r>
      <w:r>
        <w:rPr>
          <w:rFonts w:hint="eastAsia" w:ascii="仿宋_GB2312" w:hAnsi="仿宋_GB2312" w:eastAsia="仿宋_GB2312" w:cs="仿宋_GB2312"/>
          <w:bCs/>
          <w:szCs w:val="32"/>
        </w:rPr>
        <w:t>普法精准性不足，特定群体个性化普法服务覆盖不够。</w:t>
      </w:r>
    </w:p>
    <w:p w14:paraId="459AD495">
      <w:pPr>
        <w:autoSpaceDN w:val="0"/>
        <w:ind w:firstLine="640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四、</w:t>
      </w:r>
      <w:r>
        <w:rPr>
          <w:rFonts w:hint="default" w:ascii="Times New Roman" w:hAnsi="Times New Roman" w:eastAsia="黑体" w:cs="Times New Roman"/>
          <w:szCs w:val="32"/>
        </w:rPr>
        <w:t>2026</w:t>
      </w:r>
      <w:r>
        <w:rPr>
          <w:rFonts w:eastAsia="黑体" w:cs="Times New Roman"/>
          <w:szCs w:val="32"/>
        </w:rPr>
        <w:t>年推进法治政府建设的主要安排</w:t>
      </w:r>
    </w:p>
    <w:p w14:paraId="2A9BB1FC">
      <w:pPr>
        <w:spacing w:line="580" w:lineRule="exact"/>
        <w:ind w:firstLine="640"/>
        <w:rPr>
          <w:rFonts w:hint="eastAsia" w:ascii="仿宋_GB2312" w:hAnsi="仿宋_GB2312" w:eastAsia="仿宋_GB2312" w:cs="仿宋_GB2312"/>
          <w:bCs/>
          <w:szCs w:val="32"/>
        </w:rPr>
      </w:pPr>
      <w:r>
        <w:rPr>
          <w:rFonts w:hint="eastAsia" w:eastAsia="楷体_GB2312" w:cs="宋体"/>
          <w:szCs w:val="32"/>
        </w:rPr>
        <w:t>一是持续强化干部法治思维能力建设。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深化习近平法治思想学习宣传，健全考核述法双轮驱动机制，强化督察结果运用。</w:t>
      </w:r>
      <w:r>
        <w:rPr>
          <w:rFonts w:hint="eastAsia" w:eastAsia="楷体_GB2312" w:cs="宋体"/>
          <w:szCs w:val="32"/>
        </w:rPr>
        <w:t>二是全面推进严格公正文明执法。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加强涉企行政执法规范化建设，严格落实行政执法“三项制度”，保障群众合法权益、维护政府公信力。</w:t>
      </w:r>
      <w:r>
        <w:rPr>
          <w:rFonts w:hint="eastAsia" w:eastAsia="楷体_GB2312" w:cs="宋体"/>
          <w:szCs w:val="32"/>
        </w:rPr>
        <w:t>三是大力推动惠企便民举措提质升级</w:t>
      </w:r>
      <w:r>
        <w:rPr>
          <w:rFonts w:hint="eastAsia" w:eastAsia="仿宋_GB231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扩大法律服务覆盖面，实施“普法强基”工程，营造尊法学法守法用法浓厚氛围。</w:t>
      </w: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872E2">
    <w:pPr>
      <w:pStyle w:val="6"/>
      <w:ind w:firstLine="36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191240C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9B39D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AE3F5">
    <w:pPr>
      <w:pStyle w:val="7"/>
      <w:pBdr>
        <w:bottom w:val="none" w:color="auto" w:sz="0" w:space="1"/>
      </w:pBdr>
      <w:spacing w:line="240" w:lineRule="auto"/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4109E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1EDC4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2D2545B"/>
    <w:rsid w:val="0E2D1AB8"/>
    <w:rsid w:val="106E3813"/>
    <w:rsid w:val="20F25BF8"/>
    <w:rsid w:val="214A3F03"/>
    <w:rsid w:val="243B1909"/>
    <w:rsid w:val="2B702E85"/>
    <w:rsid w:val="2FD63906"/>
    <w:rsid w:val="300368D7"/>
    <w:rsid w:val="33163879"/>
    <w:rsid w:val="3B3E1A88"/>
    <w:rsid w:val="3D2832C7"/>
    <w:rsid w:val="406853CF"/>
    <w:rsid w:val="47794E4B"/>
    <w:rsid w:val="4A127565"/>
    <w:rsid w:val="51AB6549"/>
    <w:rsid w:val="51E27A91"/>
    <w:rsid w:val="52470AB7"/>
    <w:rsid w:val="53E22A2B"/>
    <w:rsid w:val="59F43301"/>
    <w:rsid w:val="5A663E2B"/>
    <w:rsid w:val="5EE42833"/>
    <w:rsid w:val="645864E6"/>
    <w:rsid w:val="65FE7B60"/>
    <w:rsid w:val="6BBA6837"/>
    <w:rsid w:val="71166FB5"/>
    <w:rsid w:val="7B245F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仿宋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99"/>
    <w:rPr>
      <w:rFonts w:eastAsia="楷体_GB2312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 w:val="21"/>
      <w:szCs w:val="21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qFormat/>
    <w:uiPriority w:val="10"/>
    <w:pPr>
      <w:spacing w:before="240" w:after="60"/>
      <w:ind w:left="200" w:leftChars="200"/>
      <w:outlineLvl w:val="0"/>
    </w:pPr>
    <w:rPr>
      <w:rFonts w:ascii="Arial" w:hAnsi="Arial" w:eastAsia="仿宋_GB2312"/>
      <w:b/>
      <w:bCs/>
      <w:szCs w:val="21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无"/>
    <w:qFormat/>
    <w:uiPriority w:val="0"/>
  </w:style>
  <w:style w:type="character" w:customStyle="1" w:styleId="14">
    <w:name w:val="页眉 字符"/>
    <w:basedOn w:val="11"/>
    <w:link w:val="7"/>
    <w:qFormat/>
    <w:uiPriority w:val="0"/>
    <w:rPr>
      <w:rFonts w:eastAsia="仿宋" w:cs="宋体"/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0"/>
    <w:rPr>
      <w:rFonts w:eastAsia="仿宋" w:cs="宋体"/>
      <w:kern w:val="2"/>
      <w:sz w:val="18"/>
      <w:szCs w:val="18"/>
    </w:rPr>
  </w:style>
  <w:style w:type="paragraph" w:customStyle="1" w:styleId="16">
    <w:name w:val="BodyText"/>
    <w:basedOn w:val="1"/>
    <w:qFormat/>
    <w:uiPriority w:val="0"/>
    <w:pPr>
      <w:spacing w:after="120"/>
      <w:textAlignment w:val="baseline"/>
    </w:pPr>
  </w:style>
  <w:style w:type="paragraph" w:customStyle="1" w:styleId="17">
    <w:name w:val="BodyTextIndent2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2118</Words>
  <Characters>2202</Characters>
  <Paragraphs>25</Paragraphs>
  <TotalTime>0</TotalTime>
  <ScaleCrop>false</ScaleCrop>
  <LinksUpToDate>false</LinksUpToDate>
  <CharactersWithSpaces>2202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2025-01-15T03:12:00Z</dcterms:created>
  <dc:creator>Administrator</dc:creator>
  <cp:lastModifiedBy>Administrator</cp:lastModifiedBy>
  <cp:lastPrinted>2025-02-25T04:06:00Z</cp:lastPrinted>
  <dcterms:modified xsi:type="dcterms:W3CDTF">2026-02-02T01:09:39Z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eyJoZGlkIjoiZjdmOWNhZWQ4NTM2NWM4ZDQzZTVhODU4YmM4MWVlOGUifQ==</vt:lpwstr>
  </property>
  <property fmtid="{D5CDD505-2E9C-101B-9397-08002B2CF9AE}" pid="4" name="ICV">
    <vt:lpwstr>42783D8ADB16494691BCA96C2501C264_12</vt:lpwstr>
  </property>
</Properties>
</file>