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adjustRightInd w:val="0"/>
        <w:spacing w:before="0" w:beforeAutospacing="0" w:after="0" w:afterAutospacing="0" w:line="460" w:lineRule="exact"/>
        <w:ind w:left="0" w:right="0"/>
        <w:jc w:val="center"/>
        <w:rPr>
          <w:rFonts w:hint="eastAsia" w:ascii="宋体" w:hAnsi="宋体" w:eastAsia="宋体" w:cs="宋体"/>
          <w:b/>
          <w:bCs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</w:rPr>
        <w:t>区发改工信局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</w:rPr>
        <w:t>政府信息公开工作年度报告</w:t>
      </w:r>
    </w:p>
    <w:bookmarkEnd w:id="0"/>
    <w:p>
      <w:pPr>
        <w:pStyle w:val="2"/>
        <w:keepNext w:val="0"/>
        <w:keepLines w:val="0"/>
        <w:widowControl/>
        <w:suppressLineNumbers w:val="0"/>
        <w:adjustRightInd w:val="0"/>
        <w:spacing w:before="0" w:beforeAutospacing="0" w:after="0" w:afterAutospacing="0" w:line="460" w:lineRule="exact"/>
        <w:ind w:left="0" w:right="0"/>
        <w:jc w:val="center"/>
      </w:pPr>
      <w:r>
        <w:rPr>
          <w:rFonts w:hint="eastAsia" w:ascii="宋体" w:hAnsi="宋体" w:eastAsia="宋体" w:cs="宋体"/>
          <w:color w:val="000000"/>
          <w:kern w:val="2"/>
          <w:sz w:val="36"/>
          <w:szCs w:val="36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adjustRightInd w:val="0"/>
        <w:spacing w:before="0" w:beforeAutospacing="0" w:after="0" w:afterAutospacing="0" w:line="460" w:lineRule="exact"/>
        <w:ind w:left="0" w:right="0" w:firstLine="560" w:firstLineChars="200"/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adjustRightInd w:val="0"/>
        <w:spacing w:before="0" w:beforeAutospacing="0" w:after="0" w:afterAutospacing="0" w:line="460" w:lineRule="exact"/>
        <w:ind w:left="0" w:right="0" w:firstLine="560" w:firstLineChars="200"/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</w:rPr>
        <w:t>前进区发展改革工信局目前需要公开的信息内容有2018年《中华人民共和国中小企业促进法》1条、2019年《</w:t>
      </w:r>
      <w:r>
        <w:fldChar w:fldCharType="begin"/>
      </w:r>
      <w:r>
        <w:instrText xml:space="preserve"> HYPERLINK "http://wasg.jmsqjq.gov.cn/e/action/ShowInfo.php?classid=25&amp;id=5891" \o "黑龙江省重大建设项目稽察办法" </w:instrText>
      </w:r>
      <w:r>
        <w:fldChar w:fldCharType="separate"/>
      </w:r>
      <w:r>
        <w:rPr>
          <w:rStyle w:val="5"/>
          <w:rFonts w:hint="eastAsia" w:ascii="宋体" w:hAnsi="宋体" w:eastAsia="宋体" w:cs="宋体"/>
          <w:color w:val="000000"/>
          <w:kern w:val="2"/>
          <w:sz w:val="28"/>
          <w:szCs w:val="28"/>
        </w:rPr>
        <w:t xml:space="preserve">黑龙江省重大建设项目稽察办法 </w:t>
      </w:r>
      <w:r>
        <w:fldChar w:fldCharType="end"/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</w:rPr>
        <w:t>》、《</w:t>
      </w:r>
      <w:r>
        <w:fldChar w:fldCharType="begin"/>
      </w:r>
      <w:r>
        <w:instrText xml:space="preserve"> HYPERLINK "http://wasg.jmsqjq.gov.cn/e/action/ShowInfo.php?classid=25&amp;id=5892" \o "中央预算内投资补助和贴息项目管理办法" </w:instrText>
      </w:r>
      <w:r>
        <w:fldChar w:fldCharType="separate"/>
      </w:r>
      <w:r>
        <w:rPr>
          <w:rStyle w:val="5"/>
          <w:rFonts w:hint="eastAsia" w:ascii="宋体" w:hAnsi="宋体" w:eastAsia="宋体" w:cs="宋体"/>
          <w:color w:val="000000"/>
          <w:kern w:val="2"/>
          <w:sz w:val="28"/>
          <w:szCs w:val="28"/>
        </w:rPr>
        <w:t xml:space="preserve">中央预算内投资补助和贴息项目管理办法 </w:t>
      </w:r>
      <w:r>
        <w:fldChar w:fldCharType="end"/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</w:rPr>
        <w:t>》、《</w:t>
      </w:r>
      <w:r>
        <w:fldChar w:fldCharType="begin"/>
      </w:r>
      <w:r>
        <w:instrText xml:space="preserve"> HYPERLINK "http://wasg.jmsqjq.gov.cn/e/action/ShowInfo.php?classid=25&amp;id=5895" \o "黑龙江省预算内投资项目管理暂行办法" </w:instrText>
      </w:r>
      <w:r>
        <w:fldChar w:fldCharType="separate"/>
      </w:r>
      <w:r>
        <w:rPr>
          <w:rStyle w:val="5"/>
          <w:rFonts w:hint="eastAsia" w:ascii="宋体" w:hAnsi="宋体" w:eastAsia="宋体" w:cs="宋体"/>
          <w:color w:val="000000"/>
          <w:kern w:val="2"/>
          <w:sz w:val="28"/>
          <w:szCs w:val="28"/>
        </w:rPr>
        <w:t xml:space="preserve">黑龙江省预算内投资项目管理暂行办法 </w:t>
      </w:r>
      <w:r>
        <w:fldChar w:fldCharType="end"/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</w:rPr>
        <w:t>》、《</w:t>
      </w:r>
      <w:r>
        <w:fldChar w:fldCharType="begin"/>
      </w:r>
      <w:r>
        <w:instrText xml:space="preserve"> HYPERLINK "http://wasg.jmsqjq.gov.cn/e/action/ShowInfo.php?classid=76&amp;id=6258" \o "黑龙江省新增规模以上工业企业奖励政策实施细则" </w:instrText>
      </w:r>
      <w:r>
        <w:fldChar w:fldCharType="separate"/>
      </w:r>
      <w:r>
        <w:rPr>
          <w:rStyle w:val="5"/>
          <w:rFonts w:hint="eastAsia" w:ascii="宋体" w:hAnsi="宋体" w:eastAsia="宋体" w:cs="宋体"/>
          <w:color w:val="000000"/>
          <w:kern w:val="2"/>
          <w:sz w:val="28"/>
          <w:szCs w:val="28"/>
        </w:rPr>
        <w:t xml:space="preserve">黑龙江省新增规模以上工业企业奖励政策 </w:t>
      </w:r>
      <w:r>
        <w:fldChar w:fldCharType="end"/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</w:rPr>
        <w:t>》4条、2020年《国家应对疫情专项政策》等15条、共计20条行政规范性文件，2021年无信息公开内容。</w:t>
      </w:r>
    </w:p>
    <w:p>
      <w:pPr>
        <w:pStyle w:val="2"/>
        <w:keepNext w:val="0"/>
        <w:keepLines w:val="0"/>
        <w:widowControl/>
        <w:suppressLineNumbers w:val="0"/>
        <w:adjustRightInd w:val="0"/>
        <w:spacing w:before="0" w:beforeAutospacing="0" w:after="0" w:afterAutospacing="0" w:line="460" w:lineRule="exact"/>
        <w:ind w:left="0" w:right="0" w:firstLine="560" w:firstLineChars="200"/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</w:rPr>
        <w:t>二、主动公开政府信息情况</w:t>
      </w:r>
    </w:p>
    <w:tbl>
      <w:tblPr>
        <w:tblW w:w="90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信息内容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本年制发件数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本年废止件数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规章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  <w:t>　　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default" w:ascii="方正书宋_GBK" w:hAnsi="Times New Roman" w:eastAsia="方正书宋_GBK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  <w:t>　</w:t>
            </w: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行政规范性文件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  <w:t>　  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default" w:ascii="方正书宋_GBK" w:hAnsi="Times New Roman" w:eastAsia="方正书宋_GBK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  <w:t>　</w:t>
            </w: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信息内容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行政许可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信息内容</w:t>
            </w:r>
          </w:p>
        </w:tc>
        <w:tc>
          <w:tcPr>
            <w:tcW w:w="68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行政处罚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行政强制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信息内容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行政事业性收费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adjustRightInd w:val="0"/>
        <w:spacing w:before="0" w:beforeAutospacing="0" w:after="0" w:afterAutospacing="0" w:line="460" w:lineRule="exact"/>
        <w:ind w:left="0" w:right="0" w:firstLine="560" w:firstLineChars="200"/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</w:rPr>
        <w:t>三、收到和处理政府信息公开申请情况</w:t>
      </w:r>
    </w:p>
    <w:tbl>
      <w:tblPr>
        <w:tblW w:w="90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69"/>
        <w:gridCol w:w="1106"/>
        <w:gridCol w:w="2744"/>
        <w:gridCol w:w="854"/>
        <w:gridCol w:w="643"/>
        <w:gridCol w:w="714"/>
        <w:gridCol w:w="658"/>
        <w:gridCol w:w="616"/>
        <w:gridCol w:w="390"/>
        <w:gridCol w:w="4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435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自然人</w:t>
            </w:r>
          </w:p>
        </w:tc>
        <w:tc>
          <w:tcPr>
            <w:tcW w:w="3021" w:type="dxa"/>
            <w:gridSpan w:val="5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法人或其他组织</w:t>
            </w:r>
          </w:p>
        </w:tc>
        <w:tc>
          <w:tcPr>
            <w:tcW w:w="478" w:type="dxa"/>
            <w:vMerge w:val="restart"/>
            <w:tcBorders>
              <w:top w:val="single" w:color="auto" w:sz="8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商业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企业</w:t>
            </w: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科研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机构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社会公益组织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法律服务机构</w:t>
            </w:r>
          </w:p>
        </w:tc>
        <w:tc>
          <w:tcPr>
            <w:tcW w:w="390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其他</w:t>
            </w:r>
          </w:p>
        </w:tc>
        <w:tc>
          <w:tcPr>
            <w:tcW w:w="478" w:type="dxa"/>
            <w:vMerge w:val="continue"/>
            <w:tcBorders>
              <w:top w:val="single" w:color="auto" w:sz="8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三、本年度办理结果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（一）予以公开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（二）部分公开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bdr w:val="none" w:color="auto" w:sz="0" w:space="0"/>
              </w:rPr>
              <w:t>（区分处理的，只计这一情形，不计其他情形）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三、本年度办理结果</w:t>
            </w:r>
          </w:p>
        </w:tc>
        <w:tc>
          <w:tcPr>
            <w:tcW w:w="1106" w:type="dxa"/>
            <w:vMerge w:val="restart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（三）不予公开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1.属于国家秘密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2.其他法律行政法规禁止公开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3.危及“三安全一稳定”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4.保护第三方合法权益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5.属于三类内部事务信息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6.属于四类过程性信息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7.属于行政执法案卷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8.属于行政查询事项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（四）无法提供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1.本机关不掌握相关政府信息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2.没有现成信息需要另行制作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3.补正后申请内容仍不明确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（五）不予处理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1.信访举报投诉类申请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2.重复申请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3.要求提供公开出版物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4.无正当理由大量反复申请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854" w:type="dxa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3" w:type="dxa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8" w:type="dxa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16" w:type="dxa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（六）其他处理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1.申请人无正当理由逾期不补正、行政机关不再处理其政府信息公开申请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2.申请人逾期未按收费通知要求缴纳费用、行政机关不再处理其政府信息公开申请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3.其他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（七）总计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四、结转下年度继续办理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adjustRightInd w:val="0"/>
        <w:spacing w:before="0" w:beforeAutospacing="0" w:after="0" w:afterAutospacing="0" w:line="460" w:lineRule="exact"/>
        <w:ind w:left="0" w:right="0" w:firstLine="560" w:firstLineChars="200"/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</w:rPr>
        <w:t>四、政府信息公开行政复议、行政诉讼情况</w:t>
      </w:r>
    </w:p>
    <w:tbl>
      <w:tblPr>
        <w:tblW w:w="90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行政复议</w:t>
            </w:r>
          </w:p>
        </w:tc>
        <w:tc>
          <w:tcPr>
            <w:tcW w:w="604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结果维持</w:t>
            </w:r>
          </w:p>
        </w:tc>
        <w:tc>
          <w:tcPr>
            <w:tcW w:w="60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结果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纠正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结果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尚未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审结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总计</w:t>
            </w:r>
          </w:p>
        </w:tc>
        <w:tc>
          <w:tcPr>
            <w:tcW w:w="302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结果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维持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结果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尚未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结果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结果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尚未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adjustRightInd w:val="0"/>
        <w:spacing w:before="0" w:beforeAutospacing="0" w:after="0" w:afterAutospacing="0" w:line="460" w:lineRule="exact"/>
        <w:ind w:left="0" w:right="0" w:firstLine="560" w:firstLineChars="200"/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adjustRightInd w:val="0"/>
        <w:spacing w:before="0" w:beforeAutospacing="0" w:after="0" w:afterAutospacing="0" w:line="460" w:lineRule="exact"/>
        <w:ind w:left="0" w:right="0" w:firstLine="560" w:firstLineChars="200"/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</w:rPr>
        <w:t>未发现有需要改进的问题。</w:t>
      </w:r>
    </w:p>
    <w:p>
      <w:pPr>
        <w:pStyle w:val="2"/>
        <w:keepNext w:val="0"/>
        <w:keepLines w:val="0"/>
        <w:widowControl/>
        <w:suppressLineNumbers w:val="0"/>
        <w:adjustRightInd w:val="0"/>
        <w:spacing w:before="0" w:beforeAutospacing="0" w:after="0" w:afterAutospacing="0" w:line="460" w:lineRule="exact"/>
        <w:ind w:left="0" w:right="0" w:firstLine="560" w:firstLineChars="200"/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adjustRightInd w:val="0"/>
        <w:spacing w:before="0" w:beforeAutospacing="0" w:after="0" w:afterAutospacing="0" w:line="460" w:lineRule="exact"/>
        <w:ind w:left="0" w:right="0" w:firstLine="560" w:firstLineChars="200"/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</w:rPr>
        <w:t>暂无其他情况需要报告。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ascii="Calibri" w:hAnsi="Calibri" w:eastAsia="宋体" w:cs="Times New Roman"/>
          <w:color w:val="000000"/>
          <w:kern w:val="2"/>
          <w:sz w:val="21"/>
          <w:szCs w:val="21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MzA5MGEzMWQ4OTNiNWMxNDhhYjRkMmY3ODhkMDkifQ=="/>
  </w:docVars>
  <w:rsids>
    <w:rsidRoot w:val="00000000"/>
    <w:rsid w:val="5244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2022-12-16T02:31:59Z</dcterms:created>
  <dc:creator>NINGMEI</dc:creator>
  <cp:lastModifiedBy>NINGMEI</cp:lastModifiedBy>
  <dcterms:modified xsi:type="dcterms:W3CDTF">2022-12-16T02:33:22Z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C1675ABB7E3047E7988FC88139D18A89</vt:lpwstr>
  </property>
</Properties>
</file>