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4"/>
          <w:rFonts w:hint="eastAsia" w:ascii="宋体" w:hAnsi="宋体" w:eastAsia="宋体" w:cs="宋体"/>
          <w:b/>
          <w:bCs w:val="0"/>
          <w:sz w:val="44"/>
          <w:szCs w:val="44"/>
          <w:lang w:val="en-US" w:eastAsia="zh-CN"/>
        </w:rPr>
      </w:pPr>
      <w:r>
        <w:rPr>
          <w:rStyle w:val="4"/>
          <w:rFonts w:hint="eastAsia" w:ascii="宋体" w:hAnsi="宋体" w:eastAsia="宋体" w:cs="宋体"/>
          <w:b/>
          <w:bCs w:val="0"/>
          <w:sz w:val="44"/>
          <w:szCs w:val="44"/>
          <w:lang w:eastAsia="zh-CN"/>
        </w:rPr>
        <w:t>退役军人事务局</w:t>
      </w:r>
      <w:r>
        <w:rPr>
          <w:rStyle w:val="4"/>
          <w:rFonts w:hint="eastAsia" w:ascii="宋体" w:hAnsi="宋体" w:eastAsia="宋体" w:cs="宋体"/>
          <w:b/>
          <w:bCs w:val="0"/>
          <w:sz w:val="44"/>
          <w:szCs w:val="44"/>
          <w:lang w:val="en-US" w:eastAsia="zh-CN"/>
        </w:rPr>
        <w:t>2022年</w:t>
      </w:r>
    </w:p>
    <w:p>
      <w:pPr>
        <w:jc w:val="center"/>
        <w:rPr>
          <w:rStyle w:val="4"/>
          <w:rFonts w:hint="eastAsia" w:ascii="宋体" w:hAnsi="宋体" w:eastAsia="宋体" w:cs="宋体"/>
          <w:b/>
          <w:bCs w:val="0"/>
          <w:sz w:val="44"/>
          <w:szCs w:val="44"/>
        </w:rPr>
      </w:pPr>
      <w:r>
        <w:rPr>
          <w:rStyle w:val="4"/>
          <w:rFonts w:hint="eastAsia" w:ascii="宋体" w:hAnsi="宋体" w:eastAsia="宋体" w:cs="宋体"/>
          <w:b/>
          <w:bCs w:val="0"/>
          <w:sz w:val="44"/>
          <w:szCs w:val="44"/>
        </w:rPr>
        <w:t>政府信息公开工作年度报告</w:t>
      </w:r>
    </w:p>
    <w:p>
      <w:pPr>
        <w:numPr>
          <w:ilvl w:val="0"/>
          <w:numId w:val="0"/>
        </w:numPr>
        <w:ind w:firstLine="640" w:firstLineChars="200"/>
        <w:jc w:val="both"/>
        <w:rPr>
          <w:rStyle w:val="4"/>
          <w:rFonts w:hint="eastAsia" w:ascii="黑体" w:hAnsi="黑体" w:eastAsia="黑体" w:cs="黑体"/>
          <w:b w:val="0"/>
          <w:bCs/>
          <w:sz w:val="32"/>
          <w:szCs w:val="32"/>
        </w:rPr>
      </w:pPr>
      <w:r>
        <w:rPr>
          <w:rStyle w:val="4"/>
          <w:rFonts w:hint="eastAsia" w:ascii="黑体" w:hAnsi="黑体" w:eastAsia="黑体" w:cs="黑体"/>
          <w:b w:val="0"/>
          <w:bCs/>
          <w:sz w:val="32"/>
          <w:szCs w:val="32"/>
          <w:lang w:eastAsia="zh-CN"/>
        </w:rPr>
        <w:t>一、</w:t>
      </w:r>
      <w:r>
        <w:rPr>
          <w:rStyle w:val="4"/>
          <w:rFonts w:hint="eastAsia" w:ascii="黑体" w:hAnsi="黑体" w:eastAsia="黑体" w:cs="黑体"/>
          <w:b w:val="0"/>
          <w:bCs/>
          <w:sz w:val="32"/>
          <w:szCs w:val="32"/>
        </w:rPr>
        <w:t>总体情况</w:t>
      </w:r>
    </w:p>
    <w:p>
      <w:pPr>
        <w:numPr>
          <w:ilvl w:val="0"/>
          <w:numId w:val="0"/>
        </w:numPr>
        <w:ind w:firstLine="640" w:firstLineChars="200"/>
        <w:jc w:val="both"/>
        <w:rPr>
          <w:rFonts w:hint="eastAsia" w:ascii="仿宋_GB2312" w:hAnsi="宋体" w:eastAsia="仿宋_GB2312" w:cs="仿宋_GB2312"/>
          <w:i w:val="0"/>
          <w:iCs w:val="0"/>
          <w:caps w:val="0"/>
          <w:color w:val="auto"/>
          <w:spacing w:val="0"/>
          <w:sz w:val="32"/>
          <w:szCs w:val="32"/>
          <w:shd w:val="clear" w:fill="FFFFFF"/>
        </w:rPr>
      </w:pPr>
      <w:r>
        <w:rPr>
          <w:rFonts w:ascii="仿宋_GB2312" w:hAnsi="宋体" w:eastAsia="仿宋_GB2312" w:cs="仿宋_GB2312"/>
          <w:i w:val="0"/>
          <w:iCs w:val="0"/>
          <w:caps w:val="0"/>
          <w:color w:val="auto"/>
          <w:spacing w:val="0"/>
          <w:sz w:val="32"/>
          <w:szCs w:val="32"/>
          <w:shd w:val="clear" w:fill="FFFFFF"/>
        </w:rPr>
        <w:t>为深入贯彻落实</w:t>
      </w:r>
      <w:r>
        <w:rPr>
          <w:rFonts w:hint="eastAsia" w:ascii="仿宋_GB2312" w:hAnsi="宋体" w:eastAsia="仿宋_GB2312" w:cs="仿宋_GB2312"/>
          <w:i w:val="0"/>
          <w:iCs w:val="0"/>
          <w:caps w:val="0"/>
          <w:color w:val="auto"/>
          <w:spacing w:val="0"/>
          <w:sz w:val="32"/>
          <w:szCs w:val="32"/>
          <w:shd w:val="clear" w:fill="FFFFFF"/>
        </w:rPr>
        <w:t>区委、区政府信息公开工作有关规定，我局紧密结合前进区退役军人事务工作重点，紧紧围绕习近平总书记关于退役军人工作的重要论述和指示批示精神，</w:t>
      </w:r>
      <w:r>
        <w:rPr>
          <w:rFonts w:ascii="仿宋_GB2312" w:hAnsi="宋体" w:eastAsia="仿宋_GB2312" w:cs="仿宋_GB2312"/>
          <w:i w:val="0"/>
          <w:iCs w:val="0"/>
          <w:caps w:val="0"/>
          <w:color w:val="auto"/>
          <w:spacing w:val="0"/>
          <w:sz w:val="32"/>
          <w:szCs w:val="32"/>
          <w:shd w:val="clear" w:fill="FFFFFF"/>
        </w:rPr>
        <w:t>认真贯彻落实《中华人民共和国政府信息公开条例》</w:t>
      </w:r>
      <w:r>
        <w:rPr>
          <w:rFonts w:hint="eastAsia" w:ascii="仿宋_GB2312" w:hAnsi="宋体" w:eastAsia="仿宋_GB2312" w:cs="仿宋_GB2312"/>
          <w:i w:val="0"/>
          <w:iCs w:val="0"/>
          <w:caps w:val="0"/>
          <w:color w:val="auto"/>
          <w:spacing w:val="0"/>
          <w:sz w:val="32"/>
          <w:szCs w:val="32"/>
          <w:shd w:val="clear" w:fill="FFFFFF"/>
        </w:rPr>
        <w:t>等相关规定，把政府信息公开工作作为建设服务政府、透明政府、阳光政府的重要举措，切实推进了我局信息公开工作</w:t>
      </w:r>
      <w:r>
        <w:rPr>
          <w:rFonts w:hint="eastAsia" w:ascii="仿宋_GB2312" w:hAnsi="宋体" w:eastAsia="仿宋_GB2312" w:cs="仿宋_GB2312"/>
          <w:i w:val="0"/>
          <w:iCs w:val="0"/>
          <w:caps w:val="0"/>
          <w:color w:val="auto"/>
          <w:spacing w:val="0"/>
          <w:sz w:val="32"/>
          <w:szCs w:val="32"/>
          <w:shd w:val="clear" w:fill="FFFFFF"/>
          <w:lang w:eastAsia="zh-CN"/>
        </w:rPr>
        <w:t>。</w:t>
      </w:r>
    </w:p>
    <w:p>
      <w:pPr>
        <w:spacing w:line="223" w:lineRule="auto"/>
        <w:ind w:left="0" w:leftChars="0" w:firstLine="0" w:firstLineChars="0"/>
        <w:rPr>
          <w:rFonts w:hint="eastAsia" w:ascii="仿宋" w:hAnsi="仿宋" w:eastAsia="仿宋" w:cs="仿宋"/>
          <w:b/>
          <w:bCs/>
          <w:sz w:val="31"/>
          <w:szCs w:val="31"/>
        </w:rPr>
      </w:pPr>
      <w:r>
        <w:rPr>
          <w:rFonts w:hint="eastAsia" w:ascii="仿宋" w:hAnsi="仿宋" w:eastAsia="仿宋" w:cs="仿宋"/>
          <w:b/>
          <w:bCs/>
          <w:spacing w:val="-6"/>
          <w:sz w:val="31"/>
          <w:szCs w:val="31"/>
          <w:lang w:eastAsia="zh-CN"/>
        </w:rPr>
        <w:t xml:space="preserve">   （</w:t>
      </w:r>
      <w:r>
        <w:rPr>
          <w:rFonts w:hint="eastAsia" w:ascii="仿宋" w:hAnsi="仿宋" w:eastAsia="仿宋" w:cs="仿宋"/>
          <w:b/>
          <w:bCs/>
          <w:spacing w:val="-6"/>
          <w:sz w:val="31"/>
          <w:szCs w:val="31"/>
        </w:rPr>
        <w:t>一 ) 主动公开情</w:t>
      </w:r>
      <w:r>
        <w:rPr>
          <w:rFonts w:hint="eastAsia" w:ascii="仿宋" w:hAnsi="仿宋" w:eastAsia="仿宋" w:cs="仿宋"/>
          <w:b/>
          <w:bCs/>
          <w:spacing w:val="-4"/>
          <w:sz w:val="31"/>
          <w:szCs w:val="31"/>
        </w:rPr>
        <w:t>况</w:t>
      </w:r>
    </w:p>
    <w:p>
      <w:pPr>
        <w:spacing w:before="247" w:line="372" w:lineRule="auto"/>
        <w:ind w:left="0" w:leftChars="0" w:firstLine="0" w:firstLineChars="0"/>
        <w:rPr>
          <w:rFonts w:ascii="仿宋" w:hAnsi="仿宋" w:eastAsia="仿宋" w:cs="仿宋"/>
          <w:sz w:val="31"/>
          <w:szCs w:val="31"/>
        </w:rPr>
      </w:pPr>
      <w:r>
        <w:rPr>
          <w:rFonts w:hint="eastAsia" w:ascii="仿宋" w:hAnsi="仿宋" w:eastAsia="仿宋" w:cs="仿宋"/>
          <w:spacing w:val="1"/>
          <w:sz w:val="31"/>
          <w:szCs w:val="31"/>
          <w:lang w:eastAsia="zh-CN"/>
        </w:rPr>
        <w:t xml:space="preserve">   </w:t>
      </w:r>
      <w:r>
        <w:rPr>
          <w:rFonts w:ascii="仿宋" w:hAnsi="仿宋" w:eastAsia="仿宋" w:cs="仿宋"/>
          <w:spacing w:val="1"/>
          <w:sz w:val="31"/>
          <w:szCs w:val="31"/>
        </w:rPr>
        <w:t>202</w:t>
      </w:r>
      <w:r>
        <w:rPr>
          <w:rFonts w:hint="eastAsia" w:ascii="仿宋" w:hAnsi="仿宋" w:eastAsia="仿宋" w:cs="仿宋"/>
          <w:spacing w:val="1"/>
          <w:sz w:val="31"/>
          <w:szCs w:val="31"/>
          <w:lang w:val="en-US" w:eastAsia="zh-CN"/>
        </w:rPr>
        <w:t>2</w:t>
      </w:r>
      <w:r>
        <w:rPr>
          <w:rFonts w:ascii="仿宋" w:hAnsi="仿宋" w:eastAsia="仿宋" w:cs="仿宋"/>
          <w:spacing w:val="1"/>
          <w:sz w:val="31"/>
          <w:szCs w:val="31"/>
        </w:rPr>
        <w:t>年，区</w:t>
      </w:r>
      <w:r>
        <w:rPr>
          <w:rFonts w:hint="eastAsia" w:ascii="仿宋" w:hAnsi="仿宋" w:eastAsia="仿宋" w:cs="仿宋"/>
          <w:spacing w:val="1"/>
          <w:sz w:val="31"/>
          <w:szCs w:val="31"/>
          <w:lang w:eastAsia="zh-CN"/>
        </w:rPr>
        <w:t>退役军人事务局</w:t>
      </w:r>
      <w:r>
        <w:rPr>
          <w:rFonts w:ascii="仿宋" w:hAnsi="仿宋" w:eastAsia="仿宋" w:cs="仿宋"/>
          <w:spacing w:val="7"/>
          <w:sz w:val="31"/>
          <w:szCs w:val="31"/>
        </w:rPr>
        <w:t>及时</w:t>
      </w:r>
      <w:r>
        <w:rPr>
          <w:rFonts w:hint="eastAsia" w:ascii="仿宋" w:hAnsi="仿宋" w:eastAsia="仿宋" w:cs="仿宋"/>
          <w:spacing w:val="7"/>
          <w:sz w:val="31"/>
          <w:szCs w:val="31"/>
          <w:lang w:eastAsia="zh-CN"/>
        </w:rPr>
        <w:t>对各项规章制度、决算预算等内容</w:t>
      </w:r>
      <w:r>
        <w:rPr>
          <w:rFonts w:ascii="仿宋" w:hAnsi="仿宋" w:eastAsia="仿宋" w:cs="仿宋"/>
          <w:spacing w:val="7"/>
          <w:sz w:val="31"/>
          <w:szCs w:val="31"/>
        </w:rPr>
        <w:t>进行了公开。</w:t>
      </w:r>
    </w:p>
    <w:p>
      <w:pPr>
        <w:spacing w:line="223" w:lineRule="auto"/>
        <w:ind w:left="630"/>
        <w:rPr>
          <w:rFonts w:hint="eastAsia" w:ascii="仿宋" w:hAnsi="仿宋" w:eastAsia="仿宋" w:cs="仿宋"/>
          <w:b/>
          <w:bCs/>
          <w:sz w:val="31"/>
          <w:szCs w:val="31"/>
        </w:rPr>
      </w:pPr>
      <w:r>
        <w:rPr>
          <w:rFonts w:hint="eastAsia" w:ascii="仿宋" w:hAnsi="仿宋" w:eastAsia="仿宋" w:cs="仿宋"/>
          <w:b/>
          <w:bCs/>
          <w:spacing w:val="29"/>
          <w:sz w:val="31"/>
          <w:szCs w:val="31"/>
        </w:rPr>
        <w:t>(</w:t>
      </w:r>
      <w:r>
        <w:rPr>
          <w:rFonts w:hint="eastAsia" w:ascii="仿宋" w:hAnsi="仿宋" w:eastAsia="仿宋" w:cs="仿宋"/>
          <w:b/>
          <w:bCs/>
          <w:spacing w:val="22"/>
          <w:sz w:val="31"/>
          <w:szCs w:val="31"/>
        </w:rPr>
        <w:t>二) 依申请公开情况</w:t>
      </w:r>
    </w:p>
    <w:p>
      <w:pPr>
        <w:spacing w:before="250" w:line="222" w:lineRule="auto"/>
        <w:ind w:left="0" w:leftChars="0" w:firstLine="0" w:firstLineChars="0"/>
        <w:rPr>
          <w:rFonts w:ascii="仿宋" w:hAnsi="仿宋" w:eastAsia="仿宋" w:cs="仿宋"/>
          <w:sz w:val="31"/>
          <w:szCs w:val="31"/>
        </w:rPr>
      </w:pPr>
      <w:r>
        <w:rPr>
          <w:rFonts w:hint="eastAsia" w:ascii="仿宋" w:hAnsi="仿宋" w:eastAsia="仿宋" w:cs="仿宋"/>
          <w:spacing w:val="-1"/>
          <w:sz w:val="31"/>
          <w:szCs w:val="31"/>
          <w:lang w:eastAsia="zh-CN"/>
        </w:rPr>
        <w:t xml:space="preserve">   </w:t>
      </w:r>
      <w:r>
        <w:rPr>
          <w:rFonts w:ascii="仿宋" w:hAnsi="仿宋" w:eastAsia="仿宋" w:cs="仿宋"/>
          <w:spacing w:val="-1"/>
          <w:sz w:val="31"/>
          <w:szCs w:val="31"/>
        </w:rPr>
        <w:t>202</w:t>
      </w:r>
      <w:r>
        <w:rPr>
          <w:rFonts w:hint="eastAsia" w:ascii="仿宋" w:hAnsi="仿宋" w:eastAsia="仿宋" w:cs="仿宋"/>
          <w:spacing w:val="-1"/>
          <w:sz w:val="31"/>
          <w:szCs w:val="31"/>
          <w:lang w:val="en-US" w:eastAsia="zh-CN"/>
        </w:rPr>
        <w:t>2</w:t>
      </w:r>
      <w:r>
        <w:rPr>
          <w:rFonts w:ascii="仿宋" w:hAnsi="仿宋" w:eastAsia="仿宋" w:cs="仿宋"/>
          <w:spacing w:val="-1"/>
          <w:sz w:val="31"/>
          <w:szCs w:val="31"/>
        </w:rPr>
        <w:t>年，区</w:t>
      </w:r>
      <w:r>
        <w:rPr>
          <w:rFonts w:hint="eastAsia" w:ascii="仿宋" w:hAnsi="仿宋" w:eastAsia="仿宋" w:cs="仿宋"/>
          <w:spacing w:val="-1"/>
          <w:sz w:val="31"/>
          <w:szCs w:val="31"/>
          <w:lang w:eastAsia="zh-CN"/>
        </w:rPr>
        <w:t>退役军人事务局</w:t>
      </w:r>
      <w:r>
        <w:rPr>
          <w:rFonts w:ascii="仿宋" w:hAnsi="仿宋" w:eastAsia="仿宋" w:cs="仿宋"/>
          <w:spacing w:val="-1"/>
          <w:sz w:val="31"/>
          <w:szCs w:val="31"/>
        </w:rPr>
        <w:t>受理政</w:t>
      </w:r>
      <w:r>
        <w:rPr>
          <w:rFonts w:ascii="仿宋" w:hAnsi="仿宋" w:eastAsia="仿宋" w:cs="仿宋"/>
          <w:sz w:val="31"/>
          <w:szCs w:val="31"/>
        </w:rPr>
        <w:t>府信息公开申请事项 0 条。</w:t>
      </w:r>
    </w:p>
    <w:p>
      <w:pPr>
        <w:spacing w:before="249" w:line="220" w:lineRule="auto"/>
        <w:ind w:left="630"/>
        <w:rPr>
          <w:rFonts w:hint="eastAsia" w:ascii="仿宋" w:hAnsi="仿宋" w:eastAsia="仿宋" w:cs="仿宋"/>
          <w:b/>
          <w:bCs/>
          <w:sz w:val="31"/>
          <w:szCs w:val="31"/>
        </w:rPr>
      </w:pPr>
      <w:r>
        <w:rPr>
          <w:rFonts w:hint="eastAsia" w:ascii="仿宋" w:hAnsi="仿宋" w:eastAsia="仿宋" w:cs="仿宋"/>
          <w:b/>
          <w:bCs/>
          <w:spacing w:val="-6"/>
          <w:sz w:val="31"/>
          <w:szCs w:val="31"/>
        </w:rPr>
        <w:t>( 三</w:t>
      </w:r>
      <w:r>
        <w:rPr>
          <w:rFonts w:hint="eastAsia" w:ascii="仿宋" w:hAnsi="仿宋" w:eastAsia="仿宋" w:cs="仿宋"/>
          <w:b/>
          <w:bCs/>
          <w:spacing w:val="-4"/>
          <w:sz w:val="31"/>
          <w:szCs w:val="31"/>
        </w:rPr>
        <w:t xml:space="preserve"> </w:t>
      </w:r>
      <w:r>
        <w:rPr>
          <w:rFonts w:hint="eastAsia" w:ascii="仿宋" w:hAnsi="仿宋" w:eastAsia="仿宋" w:cs="仿宋"/>
          <w:b/>
          <w:bCs/>
          <w:spacing w:val="-3"/>
          <w:sz w:val="31"/>
          <w:szCs w:val="31"/>
        </w:rPr>
        <w:t>) 政府信息管理情况</w:t>
      </w:r>
    </w:p>
    <w:p>
      <w:pPr>
        <w:spacing w:before="254" w:line="372" w:lineRule="auto"/>
        <w:ind w:right="2" w:firstLine="642"/>
        <w:rPr>
          <w:rFonts w:ascii="仿宋" w:hAnsi="仿宋" w:eastAsia="仿宋" w:cs="仿宋"/>
          <w:sz w:val="31"/>
          <w:szCs w:val="31"/>
        </w:rPr>
      </w:pPr>
      <w:r>
        <w:rPr>
          <w:rFonts w:hint="eastAsia" w:ascii="仿宋_GB2312" w:hAnsi="宋体" w:eastAsia="仿宋_GB2312" w:cs="仿宋_GB2312"/>
          <w:i w:val="0"/>
          <w:iCs w:val="0"/>
          <w:caps w:val="0"/>
          <w:color w:val="auto"/>
          <w:spacing w:val="0"/>
          <w:sz w:val="32"/>
          <w:szCs w:val="32"/>
          <w:shd w:val="clear" w:fill="FFFFFF"/>
          <w:lang w:eastAsia="zh-CN"/>
        </w:rPr>
        <w:t>区退役军人事务局重点通过</w:t>
      </w:r>
      <w:r>
        <w:rPr>
          <w:rFonts w:hint="eastAsia" w:ascii="仿宋_GB2312" w:hAnsi="宋体" w:eastAsia="仿宋_GB2312" w:cs="仿宋_GB2312"/>
          <w:i w:val="0"/>
          <w:iCs w:val="0"/>
          <w:caps w:val="0"/>
          <w:color w:val="auto"/>
          <w:spacing w:val="0"/>
          <w:sz w:val="32"/>
          <w:szCs w:val="32"/>
          <w:shd w:val="clear" w:fill="FFFFFF"/>
        </w:rPr>
        <w:t>加强督促检查等方式</w:t>
      </w:r>
      <w:r>
        <w:rPr>
          <w:rFonts w:hint="eastAsia" w:ascii="仿宋_GB2312" w:hAnsi="宋体" w:eastAsia="仿宋_GB2312" w:cs="仿宋_GB2312"/>
          <w:i w:val="0"/>
          <w:iCs w:val="0"/>
          <w:caps w:val="0"/>
          <w:color w:val="auto"/>
          <w:spacing w:val="0"/>
          <w:sz w:val="32"/>
          <w:szCs w:val="32"/>
          <w:shd w:val="clear" w:fill="FFFFFF"/>
          <w:lang w:eastAsia="zh-CN"/>
        </w:rPr>
        <w:t>，</w:t>
      </w:r>
      <w:r>
        <w:rPr>
          <w:rFonts w:hint="eastAsia" w:ascii="仿宋_GB2312" w:hAnsi="宋体" w:eastAsia="仿宋_GB2312" w:cs="仿宋_GB2312"/>
          <w:i w:val="0"/>
          <w:iCs w:val="0"/>
          <w:caps w:val="0"/>
          <w:color w:val="auto"/>
          <w:spacing w:val="0"/>
          <w:sz w:val="32"/>
          <w:szCs w:val="32"/>
          <w:shd w:val="clear" w:fill="FFFFFF"/>
        </w:rPr>
        <w:t>进一步强化责任，严肃纪律，使政府信息公开工作制度化和规范化，保证信息公开工作的连续性。有力地保障了退役军人及其他优抚对象知情权、参与权、表达权和监督权。</w:t>
      </w:r>
    </w:p>
    <w:p>
      <w:pPr>
        <w:spacing w:line="220" w:lineRule="auto"/>
        <w:ind w:left="630"/>
        <w:rPr>
          <w:rFonts w:hint="eastAsia" w:ascii="仿宋" w:hAnsi="仿宋" w:eastAsia="仿宋" w:cs="仿宋"/>
          <w:b/>
          <w:bCs/>
          <w:spacing w:val="-6"/>
          <w:sz w:val="31"/>
          <w:szCs w:val="31"/>
        </w:rPr>
      </w:pPr>
      <w:r>
        <w:rPr>
          <w:rFonts w:hint="eastAsia" w:ascii="仿宋" w:hAnsi="仿宋" w:eastAsia="仿宋" w:cs="仿宋"/>
          <w:b/>
          <w:bCs/>
          <w:spacing w:val="-6"/>
          <w:sz w:val="31"/>
          <w:szCs w:val="31"/>
        </w:rPr>
        <w:t>( 四 ) 平台建设情</w:t>
      </w:r>
    </w:p>
    <w:p>
      <w:pPr>
        <w:keepNext w:val="0"/>
        <w:keepLines w:val="0"/>
        <w:pageBreakBefore w:val="0"/>
        <w:widowControl/>
        <w:kinsoku/>
        <w:wordWrap/>
        <w:overflowPunct/>
        <w:topLinePunct w:val="0"/>
        <w:autoSpaceDE/>
        <w:autoSpaceDN/>
        <w:bidi w:val="0"/>
        <w:adjustRightInd/>
        <w:snapToGrid/>
        <w:spacing w:before="101" w:line="372" w:lineRule="auto"/>
        <w:ind w:left="0" w:right="6" w:firstLine="696" w:firstLineChars="200"/>
        <w:textAlignment w:val="auto"/>
        <w:rPr>
          <w:rFonts w:ascii="仿宋" w:hAnsi="仿宋" w:eastAsia="仿宋" w:cs="仿宋"/>
          <w:sz w:val="31"/>
          <w:szCs w:val="31"/>
        </w:rPr>
      </w:pPr>
      <w:r>
        <w:rPr>
          <w:rFonts w:ascii="仿宋" w:hAnsi="仿宋" w:eastAsia="仿宋" w:cs="仿宋"/>
          <w:spacing w:val="19"/>
          <w:sz w:val="31"/>
          <w:szCs w:val="31"/>
        </w:rPr>
        <w:t>区</w:t>
      </w:r>
      <w:r>
        <w:rPr>
          <w:rFonts w:hint="eastAsia" w:ascii="仿宋" w:hAnsi="仿宋" w:eastAsia="仿宋" w:cs="仿宋"/>
          <w:spacing w:val="19"/>
          <w:sz w:val="31"/>
          <w:szCs w:val="31"/>
          <w:lang w:eastAsia="zh-CN"/>
        </w:rPr>
        <w:t>退役军人事务局</w:t>
      </w:r>
      <w:r>
        <w:rPr>
          <w:rFonts w:ascii="仿宋" w:hAnsi="仿宋" w:eastAsia="仿宋" w:cs="仿宋"/>
          <w:spacing w:val="19"/>
          <w:sz w:val="31"/>
          <w:szCs w:val="31"/>
        </w:rPr>
        <w:t>政府信息公开主要依托</w:t>
      </w:r>
      <w:r>
        <w:rPr>
          <w:rFonts w:hint="eastAsia" w:ascii="仿宋" w:hAnsi="仿宋" w:eastAsia="仿宋" w:cs="仿宋"/>
          <w:spacing w:val="19"/>
          <w:sz w:val="31"/>
          <w:szCs w:val="31"/>
          <w:lang w:val="en-US" w:eastAsia="zh-CN"/>
        </w:rPr>
        <w:t>佳木斯市前进</w:t>
      </w:r>
      <w:r>
        <w:rPr>
          <w:rFonts w:ascii="仿宋" w:hAnsi="仿宋" w:eastAsia="仿宋" w:cs="仿宋"/>
          <w:spacing w:val="19"/>
          <w:sz w:val="31"/>
          <w:szCs w:val="31"/>
        </w:rPr>
        <w:t>区人民政府网站</w:t>
      </w:r>
      <w:r>
        <w:rPr>
          <w:rFonts w:ascii="仿宋" w:hAnsi="仿宋" w:eastAsia="仿宋" w:cs="仿宋"/>
          <w:spacing w:val="11"/>
          <w:sz w:val="31"/>
          <w:szCs w:val="31"/>
        </w:rPr>
        <w:t>进</w:t>
      </w:r>
      <w:r>
        <w:rPr>
          <w:rFonts w:ascii="仿宋" w:hAnsi="仿宋" w:eastAsia="仿宋" w:cs="仿宋"/>
          <w:spacing w:val="6"/>
          <w:sz w:val="31"/>
          <w:szCs w:val="31"/>
        </w:rPr>
        <w:t>行信息发布。</w:t>
      </w:r>
    </w:p>
    <w:p>
      <w:pPr>
        <w:spacing w:before="1" w:line="219" w:lineRule="auto"/>
        <w:ind w:left="634"/>
        <w:rPr>
          <w:rFonts w:hint="eastAsia" w:ascii="仿宋" w:hAnsi="仿宋" w:eastAsia="仿宋" w:cs="仿宋"/>
          <w:b/>
          <w:bCs/>
          <w:sz w:val="31"/>
          <w:szCs w:val="31"/>
        </w:rPr>
      </w:pPr>
      <w:r>
        <w:rPr>
          <w:rFonts w:hint="eastAsia" w:ascii="仿宋" w:hAnsi="仿宋" w:eastAsia="仿宋" w:cs="仿宋"/>
          <w:b/>
          <w:bCs/>
          <w:spacing w:val="-6"/>
          <w:sz w:val="31"/>
          <w:szCs w:val="31"/>
        </w:rPr>
        <w:t>( 五</w:t>
      </w:r>
      <w:r>
        <w:rPr>
          <w:rFonts w:hint="eastAsia" w:ascii="仿宋" w:hAnsi="仿宋" w:eastAsia="仿宋" w:cs="仿宋"/>
          <w:b/>
          <w:bCs/>
          <w:spacing w:val="-4"/>
          <w:sz w:val="31"/>
          <w:szCs w:val="31"/>
        </w:rPr>
        <w:t xml:space="preserve"> </w:t>
      </w:r>
      <w:r>
        <w:rPr>
          <w:rFonts w:hint="eastAsia" w:ascii="仿宋" w:hAnsi="仿宋" w:eastAsia="仿宋" w:cs="仿宋"/>
          <w:b/>
          <w:bCs/>
          <w:spacing w:val="-3"/>
          <w:sz w:val="31"/>
          <w:szCs w:val="31"/>
        </w:rPr>
        <w:t>) 监督保障工作情况</w:t>
      </w:r>
    </w:p>
    <w:p>
      <w:pPr>
        <w:numPr>
          <w:ilvl w:val="0"/>
          <w:numId w:val="0"/>
        </w:numPr>
        <w:ind w:firstLine="640" w:firstLineChars="200"/>
        <w:jc w:val="both"/>
        <w:rPr>
          <w:rFonts w:hint="eastAsia" w:ascii="仿宋_GB2312" w:hAnsi="宋体" w:eastAsia="仿宋_GB2312" w:cs="仿宋_GB2312"/>
          <w:i w:val="0"/>
          <w:iCs w:val="0"/>
          <w:caps w:val="0"/>
          <w:color w:val="auto"/>
          <w:spacing w:val="0"/>
          <w:sz w:val="32"/>
          <w:szCs w:val="32"/>
          <w:shd w:val="clear" w:fill="FFFFFF"/>
        </w:rPr>
      </w:pPr>
      <w:r>
        <w:rPr>
          <w:rFonts w:hint="eastAsia" w:ascii="仿宋" w:hAnsi="仿宋" w:eastAsia="仿宋" w:cs="仿宋"/>
          <w:spacing w:val="6"/>
          <w:sz w:val="31"/>
          <w:szCs w:val="31"/>
          <w:lang w:eastAsia="zh-CN"/>
        </w:rPr>
        <w:t>区退役军人事务管理局</w:t>
      </w:r>
      <w:r>
        <w:rPr>
          <w:rFonts w:ascii="仿宋" w:hAnsi="仿宋" w:eastAsia="仿宋" w:cs="仿宋"/>
          <w:spacing w:val="6"/>
          <w:sz w:val="31"/>
          <w:szCs w:val="31"/>
        </w:rPr>
        <w:t>加强政务信息公开业务学习，严格</w:t>
      </w:r>
      <w:r>
        <w:rPr>
          <w:rFonts w:ascii="仿宋" w:hAnsi="仿宋" w:eastAsia="仿宋" w:cs="仿宋"/>
          <w:spacing w:val="14"/>
          <w:sz w:val="31"/>
          <w:szCs w:val="31"/>
        </w:rPr>
        <w:t>按照</w:t>
      </w:r>
      <w:r>
        <w:rPr>
          <w:rFonts w:ascii="仿宋" w:hAnsi="仿宋" w:eastAsia="仿宋" w:cs="仿宋"/>
          <w:spacing w:val="7"/>
          <w:sz w:val="31"/>
          <w:szCs w:val="31"/>
        </w:rPr>
        <w:t>信息公开保密制度、依申请公开办法等制度，深入推进信息公</w:t>
      </w:r>
      <w:r>
        <w:rPr>
          <w:rFonts w:ascii="仿宋" w:hAnsi="仿宋" w:eastAsia="仿宋" w:cs="仿宋"/>
          <w:spacing w:val="5"/>
          <w:sz w:val="31"/>
          <w:szCs w:val="31"/>
        </w:rPr>
        <w:t>开工作。</w:t>
      </w:r>
    </w:p>
    <w:p>
      <w:pPr>
        <w:pStyle w:val="5"/>
        <w:keepNext w:val="0"/>
        <w:keepLines w:val="0"/>
        <w:widowControl/>
        <w:suppressLineNumbers w:val="0"/>
        <w:ind w:left="0" w:firstLine="420"/>
        <w:jc w:val="both"/>
        <w:rPr>
          <w:rFonts w:hint="eastAsia" w:ascii="黑体" w:hAnsi="黑体" w:eastAsia="黑体" w:cs="黑体"/>
          <w:b w:val="0"/>
          <w:bCs/>
          <w:kern w:val="0"/>
          <w:sz w:val="32"/>
          <w:szCs w:val="32"/>
        </w:rPr>
      </w:pPr>
      <w:r>
        <w:rPr>
          <w:rStyle w:val="4"/>
          <w:rFonts w:hint="eastAsia" w:ascii="黑体" w:hAnsi="黑体" w:eastAsia="黑体" w:cs="黑体"/>
          <w:b w:val="0"/>
          <w:bCs/>
          <w:sz w:val="32"/>
          <w:szCs w:val="32"/>
        </w:rPr>
        <w:t>二、主动公开政府信息情况</w:t>
      </w:r>
    </w:p>
    <w:tbl>
      <w:tblPr>
        <w:tblStyle w:val="3"/>
        <w:tblW w:w="5000" w:type="pct"/>
        <w:jc w:val="center"/>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111"/>
        <w:gridCol w:w="2111"/>
        <w:gridCol w:w="2111"/>
        <w:gridCol w:w="2123"/>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456" w:type="dxa"/>
            <w:gridSpan w:val="4"/>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wordWrap w:val="0"/>
              <w:jc w:val="center"/>
              <w:rPr>
                <w:rFonts w:hint="eastAsia" w:ascii="宋体" w:hAnsi="宋体" w:eastAsia="宋体" w:cs="宋体"/>
                <w:kern w:val="0"/>
                <w:sz w:val="24"/>
                <w:szCs w:val="24"/>
              </w:rPr>
            </w:pPr>
            <w:r>
              <w:rPr>
                <w:rStyle w:val="4"/>
                <w:rFonts w:hint="eastAsia" w:ascii="宋体" w:hAnsi="宋体" w:eastAsia="宋体" w:cs="宋体"/>
                <w:b/>
                <w:bCs w:val="0"/>
              </w:rPr>
              <w:t>第二十条第（一）项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1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信息内容</w:t>
            </w:r>
          </w:p>
        </w:tc>
        <w:tc>
          <w:tcPr>
            <w:tcW w:w="2111"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本年制发件数</w:t>
            </w:r>
          </w:p>
        </w:tc>
        <w:tc>
          <w:tcPr>
            <w:tcW w:w="2111"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本年废止件数</w:t>
            </w:r>
          </w:p>
        </w:tc>
        <w:tc>
          <w:tcPr>
            <w:tcW w:w="212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现行有效件数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1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规章</w:t>
            </w:r>
          </w:p>
        </w:tc>
        <w:tc>
          <w:tcPr>
            <w:tcW w:w="2111"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c>
          <w:tcPr>
            <w:tcW w:w="2111"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c>
          <w:tcPr>
            <w:tcW w:w="212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1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行政规范性文件</w:t>
            </w:r>
          </w:p>
        </w:tc>
        <w:tc>
          <w:tcPr>
            <w:tcW w:w="2111"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c>
          <w:tcPr>
            <w:tcW w:w="2111"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c>
          <w:tcPr>
            <w:tcW w:w="212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456" w:type="dxa"/>
            <w:gridSpan w:val="4"/>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wordWrap w:val="0"/>
              <w:jc w:val="center"/>
              <w:rPr>
                <w:rFonts w:hint="eastAsia" w:ascii="宋体" w:hAnsi="宋体" w:eastAsia="宋体" w:cs="宋体"/>
                <w:kern w:val="0"/>
                <w:sz w:val="24"/>
                <w:szCs w:val="24"/>
              </w:rPr>
            </w:pPr>
            <w:r>
              <w:rPr>
                <w:rStyle w:val="4"/>
                <w:rFonts w:hint="eastAsia" w:ascii="宋体" w:hAnsi="宋体" w:eastAsia="宋体" w:cs="宋体"/>
                <w:b/>
                <w:bCs w:val="0"/>
              </w:rPr>
              <w:t>第二十条第（五）项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1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信息内容</w:t>
            </w:r>
          </w:p>
        </w:tc>
        <w:tc>
          <w:tcPr>
            <w:tcW w:w="6345" w:type="dxa"/>
            <w:gridSpan w:val="3"/>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1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行政许可</w:t>
            </w:r>
          </w:p>
        </w:tc>
        <w:tc>
          <w:tcPr>
            <w:tcW w:w="6345" w:type="dxa"/>
            <w:gridSpan w:val="3"/>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456" w:type="dxa"/>
            <w:gridSpan w:val="4"/>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wordWrap w:val="0"/>
              <w:jc w:val="center"/>
              <w:rPr>
                <w:rFonts w:hint="eastAsia" w:ascii="宋体" w:hAnsi="宋体" w:eastAsia="宋体" w:cs="宋体"/>
                <w:kern w:val="0"/>
                <w:sz w:val="24"/>
                <w:szCs w:val="24"/>
              </w:rPr>
            </w:pPr>
            <w:r>
              <w:rPr>
                <w:rStyle w:val="4"/>
                <w:rFonts w:hint="eastAsia" w:ascii="宋体" w:hAnsi="宋体" w:eastAsia="宋体" w:cs="宋体"/>
                <w:b/>
                <w:bCs w:val="0"/>
              </w:rPr>
              <w:t>第二十条第（六）项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1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信息内容</w:t>
            </w:r>
          </w:p>
        </w:tc>
        <w:tc>
          <w:tcPr>
            <w:tcW w:w="6345" w:type="dxa"/>
            <w:gridSpan w:val="3"/>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1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行政处罚</w:t>
            </w:r>
          </w:p>
        </w:tc>
        <w:tc>
          <w:tcPr>
            <w:tcW w:w="6345" w:type="dxa"/>
            <w:gridSpan w:val="3"/>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1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行政强制</w:t>
            </w:r>
          </w:p>
        </w:tc>
        <w:tc>
          <w:tcPr>
            <w:tcW w:w="6345" w:type="dxa"/>
            <w:gridSpan w:val="3"/>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8456" w:type="dxa"/>
            <w:gridSpan w:val="4"/>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wordWrap w:val="0"/>
              <w:jc w:val="center"/>
              <w:rPr>
                <w:rFonts w:hint="eastAsia" w:ascii="宋体" w:hAnsi="宋体" w:eastAsia="宋体" w:cs="宋体"/>
                <w:kern w:val="0"/>
                <w:sz w:val="24"/>
                <w:szCs w:val="24"/>
              </w:rPr>
            </w:pPr>
            <w:r>
              <w:rPr>
                <w:rStyle w:val="4"/>
                <w:rFonts w:hint="eastAsia" w:ascii="宋体" w:hAnsi="宋体" w:eastAsia="宋体" w:cs="宋体"/>
                <w:b/>
                <w:bCs w:val="0"/>
              </w:rPr>
              <w:t>第二十条第（八）项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1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信息内容</w:t>
            </w:r>
          </w:p>
        </w:tc>
        <w:tc>
          <w:tcPr>
            <w:tcW w:w="6345" w:type="dxa"/>
            <w:gridSpan w:val="3"/>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本年收费金额（单位：万元）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111"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行政事业性收费</w:t>
            </w:r>
          </w:p>
        </w:tc>
        <w:tc>
          <w:tcPr>
            <w:tcW w:w="6345" w:type="dxa"/>
            <w:gridSpan w:val="3"/>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w:t>
            </w:r>
          </w:p>
        </w:tc>
      </w:tr>
    </w:tbl>
    <w:p>
      <w:pPr>
        <w:pStyle w:val="5"/>
        <w:keepNext w:val="0"/>
        <w:keepLines w:val="0"/>
        <w:widowControl/>
        <w:suppressLineNumbers w:val="0"/>
        <w:ind w:left="0" w:firstLine="420"/>
        <w:jc w:val="both"/>
        <w:rPr>
          <w:rFonts w:hint="eastAsia" w:ascii="黑体" w:hAnsi="黑体" w:eastAsia="黑体" w:cs="黑体"/>
          <w:b w:val="0"/>
          <w:bCs/>
          <w:kern w:val="0"/>
          <w:sz w:val="32"/>
          <w:szCs w:val="32"/>
        </w:rPr>
      </w:pPr>
      <w:r>
        <w:rPr>
          <w:rStyle w:val="4"/>
          <w:rFonts w:hint="eastAsia" w:ascii="黑体" w:hAnsi="黑体" w:eastAsia="黑体" w:cs="黑体"/>
          <w:b w:val="0"/>
          <w:bCs/>
          <w:sz w:val="32"/>
          <w:szCs w:val="32"/>
        </w:rPr>
        <w:t>三、收到和处理政府信息公开申请情况</w:t>
      </w:r>
    </w:p>
    <w:tbl>
      <w:tblPr>
        <w:tblStyle w:val="3"/>
        <w:tblW w:w="5000" w:type="pct"/>
        <w:jc w:val="center"/>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730"/>
        <w:gridCol w:w="921"/>
        <w:gridCol w:w="2514"/>
        <w:gridCol w:w="603"/>
        <w:gridCol w:w="603"/>
        <w:gridCol w:w="603"/>
        <w:gridCol w:w="603"/>
        <w:gridCol w:w="603"/>
        <w:gridCol w:w="633"/>
        <w:gridCol w:w="643"/>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165" w:type="dxa"/>
            <w:gridSpan w:val="3"/>
            <w:vMerge w:val="restart"/>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（本列数据的勾稽关系为：第一项加第二项之和，等于第三项加第四项之和）</w:t>
            </w:r>
          </w:p>
        </w:tc>
        <w:tc>
          <w:tcPr>
            <w:tcW w:w="4291" w:type="dxa"/>
            <w:gridSpan w:val="7"/>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申请人情况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4165" w:type="dxa"/>
            <w:gridSpan w:val="3"/>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603" w:type="dxa"/>
            <w:vMerge w:val="restart"/>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自然人</w:t>
            </w:r>
          </w:p>
        </w:tc>
        <w:tc>
          <w:tcPr>
            <w:tcW w:w="3045" w:type="dxa"/>
            <w:gridSpan w:val="5"/>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法人或其他组织</w:t>
            </w:r>
          </w:p>
        </w:tc>
        <w:tc>
          <w:tcPr>
            <w:tcW w:w="643" w:type="dxa"/>
            <w:vMerge w:val="restart"/>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4165" w:type="dxa"/>
            <w:gridSpan w:val="3"/>
            <w:vMerge w:val="continue"/>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603"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商业</w:t>
            </w:r>
          </w:p>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企业</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科研</w:t>
            </w:r>
          </w:p>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机构</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社会公益组织</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法律服务机构</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其他</w:t>
            </w:r>
          </w:p>
        </w:tc>
        <w:tc>
          <w:tcPr>
            <w:tcW w:w="643" w:type="dxa"/>
            <w:vMerge w:val="continue"/>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4165" w:type="dxa"/>
            <w:gridSpan w:val="3"/>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一、本年新收政府信息公开申请数量</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4165" w:type="dxa"/>
            <w:gridSpan w:val="3"/>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二、上年结转政府信息公开申请数量</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30" w:type="dxa"/>
            <w:vMerge w:val="restart"/>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三、本年度办理结果</w:t>
            </w:r>
          </w:p>
        </w:tc>
        <w:tc>
          <w:tcPr>
            <w:tcW w:w="3435" w:type="dxa"/>
            <w:gridSpan w:val="2"/>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（一）予以公开</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3435" w:type="dxa"/>
            <w:gridSpan w:val="2"/>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（二）部分公开（区分处理的，只计这一情形，不计其他情形）</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921" w:type="dxa"/>
            <w:vMerge w:val="restart"/>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（三）不予公开</w:t>
            </w: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1.属于国家秘密</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2.其他法律行政法规禁止公开</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3.危及“三安全一稳定”</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4.保护第三方合法权益</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5.属于三类内部事务信息</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6.属于四类过程性信息</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7.属于行政执法案卷</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8.属于行政查询事项</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921" w:type="dxa"/>
            <w:vMerge w:val="restart"/>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（四）无法提供</w:t>
            </w: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1.本机关不掌握相关政府信息</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2.没有现成信息需要另行制作</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3.补正后申请内容仍不明确</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921" w:type="dxa"/>
            <w:vMerge w:val="restart"/>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（五）不予处理</w:t>
            </w: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1.信访举报投诉类申请</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2.重复申请</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3.要求提供公开出版物</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4.无正当理由大量反复申请</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5.要求行政机关确认或重新出具已获取信息</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921" w:type="dxa"/>
            <w:vMerge w:val="restart"/>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（六）其他处理</w:t>
            </w: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1.申请人无正当理由逾期不补正、行政机关不再处理其政府信息公开申请</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2.申请人逾期未按收费通知要求缴纳费用、行政机关不再处理其政府信息公开申请</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rPr>
                <w:rFonts w:hint="eastAsia" w:ascii="Times New Roman" w:hAnsi="宋体" w:eastAsia="宋体" w:cs="宋体"/>
                <w:kern w:val="0"/>
                <w:sz w:val="24"/>
                <w:szCs w:val="24"/>
                <w:lang w:val="en-US" w:eastAsia="zh-CN" w:bidi="ar-SA"/>
              </w:rPr>
            </w:pPr>
          </w:p>
          <w:p>
            <w:pPr>
              <w:keepNext w:val="0"/>
              <w:keepLines w:val="0"/>
              <w:widowControl/>
              <w:suppressLineNumbers w:val="0"/>
              <w:rPr>
                <w:rFonts w:hint="default"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bidi="ar-SA"/>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921"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2514"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3.其他</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rPr>
                <w:rFonts w:hint="eastAsia" w:ascii="Times New Roman" w:hAnsi="宋体" w:eastAsia="宋体" w:cs="宋体"/>
                <w:kern w:val="0"/>
                <w:sz w:val="24"/>
                <w:szCs w:val="24"/>
                <w:lang w:val="en-US" w:eastAsia="zh-CN" w:bidi="ar-SA"/>
              </w:rPr>
            </w:pPr>
            <w:r>
              <w:rPr>
                <w:rFonts w:hint="eastAsia" w:ascii="Times New Roman" w:hAnsi="宋体" w:eastAsia="宋体" w:cs="宋体"/>
                <w:kern w:val="0"/>
                <w:sz w:val="24"/>
                <w:szCs w:val="24"/>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730"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3435" w:type="dxa"/>
            <w:gridSpan w:val="2"/>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（七）总计</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4165" w:type="dxa"/>
            <w:gridSpan w:val="3"/>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四、结转下年度继续办理</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c>
          <w:tcPr>
            <w:tcW w:w="60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c>
          <w:tcPr>
            <w:tcW w:w="63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c>
          <w:tcPr>
            <w:tcW w:w="643"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top"/>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r>
    </w:tbl>
    <w:p>
      <w:pPr>
        <w:pStyle w:val="5"/>
        <w:keepNext w:val="0"/>
        <w:keepLines w:val="0"/>
        <w:widowControl/>
        <w:suppressLineNumbers w:val="0"/>
        <w:ind w:left="0" w:firstLine="420"/>
        <w:jc w:val="both"/>
        <w:rPr>
          <w:rFonts w:hint="eastAsia" w:ascii="黑体" w:hAnsi="黑体" w:eastAsia="黑体" w:cs="黑体"/>
          <w:b w:val="0"/>
          <w:bCs/>
          <w:kern w:val="0"/>
          <w:sz w:val="32"/>
          <w:szCs w:val="32"/>
        </w:rPr>
      </w:pPr>
      <w:r>
        <w:rPr>
          <w:rStyle w:val="4"/>
          <w:rFonts w:hint="eastAsia" w:ascii="黑体" w:hAnsi="黑体" w:eastAsia="黑体" w:cs="黑体"/>
          <w:b w:val="0"/>
          <w:bCs/>
          <w:sz w:val="32"/>
          <w:szCs w:val="32"/>
        </w:rPr>
        <w:t>四、政府信息公开行政复议、行政诉讼情况</w:t>
      </w:r>
    </w:p>
    <w:tbl>
      <w:tblPr>
        <w:tblStyle w:val="3"/>
        <w:tblW w:w="5000" w:type="pct"/>
        <w:jc w:val="center"/>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555"/>
        <w:gridCol w:w="555"/>
        <w:gridCol w:w="555"/>
        <w:gridCol w:w="555"/>
        <w:gridCol w:w="597"/>
        <w:gridCol w:w="555"/>
        <w:gridCol w:w="555"/>
        <w:gridCol w:w="555"/>
        <w:gridCol w:w="555"/>
        <w:gridCol w:w="597"/>
        <w:gridCol w:w="556"/>
        <w:gridCol w:w="556"/>
        <w:gridCol w:w="556"/>
        <w:gridCol w:w="556"/>
        <w:gridCol w:w="598"/>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817" w:type="dxa"/>
            <w:gridSpan w:val="5"/>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行政复议</w:t>
            </w:r>
          </w:p>
        </w:tc>
        <w:tc>
          <w:tcPr>
            <w:tcW w:w="5639" w:type="dxa"/>
            <w:gridSpan w:val="10"/>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行政诉讼</w:t>
            </w:r>
          </w:p>
        </w:tc>
      </w:tr>
      <w:tr>
        <w:tblPrEx>
          <w:shd w:val="clear" w:color="auto" w:fill="auto"/>
          <w:tblLayout w:type="fixed"/>
          <w:tblCellMar>
            <w:top w:w="0" w:type="dxa"/>
            <w:left w:w="0" w:type="dxa"/>
            <w:bottom w:w="0" w:type="dxa"/>
            <w:right w:w="0" w:type="dxa"/>
          </w:tblCellMar>
        </w:tblPrEx>
        <w:trPr>
          <w:jc w:val="center"/>
        </w:trPr>
        <w:tc>
          <w:tcPr>
            <w:tcW w:w="555" w:type="dxa"/>
            <w:vMerge w:val="restart"/>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结果维持</w:t>
            </w:r>
          </w:p>
        </w:tc>
        <w:tc>
          <w:tcPr>
            <w:tcW w:w="555" w:type="dxa"/>
            <w:vMerge w:val="restart"/>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结果</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纠正</w:t>
            </w:r>
          </w:p>
        </w:tc>
        <w:tc>
          <w:tcPr>
            <w:tcW w:w="555" w:type="dxa"/>
            <w:vMerge w:val="restart"/>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其他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结果</w:t>
            </w:r>
          </w:p>
        </w:tc>
        <w:tc>
          <w:tcPr>
            <w:tcW w:w="555" w:type="dxa"/>
            <w:vMerge w:val="restart"/>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尚未</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审结</w:t>
            </w:r>
          </w:p>
        </w:tc>
        <w:tc>
          <w:tcPr>
            <w:tcW w:w="597" w:type="dxa"/>
            <w:vMerge w:val="restart"/>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总计</w:t>
            </w:r>
          </w:p>
        </w:tc>
        <w:tc>
          <w:tcPr>
            <w:tcW w:w="2817" w:type="dxa"/>
            <w:gridSpan w:val="5"/>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未经复议直接起诉</w:t>
            </w:r>
          </w:p>
        </w:tc>
        <w:tc>
          <w:tcPr>
            <w:tcW w:w="2822" w:type="dxa"/>
            <w:gridSpan w:val="5"/>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复议后起诉</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555" w:type="dxa"/>
            <w:vMerge w:val="continue"/>
            <w:tcBorders>
              <w:top w:val="nil"/>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555" w:type="dxa"/>
            <w:vMerge w:val="continue"/>
            <w:tcBorders>
              <w:top w:val="nil"/>
              <w:left w:val="nil"/>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555" w:type="dxa"/>
            <w:vMerge w:val="continue"/>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555" w:type="dxa"/>
            <w:vMerge w:val="continue"/>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597" w:type="dxa"/>
            <w:vMerge w:val="continue"/>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rPr>
                <w:rFonts w:hint="default" w:ascii="Times New Roman" w:hAnsi="Times New Roman" w:cs="Times New Roman"/>
                <w:sz w:val="20"/>
                <w:szCs w:val="20"/>
              </w:rPr>
            </w:pPr>
          </w:p>
        </w:tc>
        <w:tc>
          <w:tcPr>
            <w:tcW w:w="555"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结果</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维持</w:t>
            </w:r>
          </w:p>
        </w:tc>
        <w:tc>
          <w:tcPr>
            <w:tcW w:w="555"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结果</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纠正</w:t>
            </w:r>
          </w:p>
        </w:tc>
        <w:tc>
          <w:tcPr>
            <w:tcW w:w="555"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其他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结果</w:t>
            </w:r>
          </w:p>
        </w:tc>
        <w:tc>
          <w:tcPr>
            <w:tcW w:w="555"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尚未</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审结</w:t>
            </w:r>
          </w:p>
        </w:tc>
        <w:tc>
          <w:tcPr>
            <w:tcW w:w="597"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总计</w:t>
            </w:r>
          </w:p>
        </w:tc>
        <w:tc>
          <w:tcPr>
            <w:tcW w:w="556"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结果</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维持</w:t>
            </w:r>
          </w:p>
        </w:tc>
        <w:tc>
          <w:tcPr>
            <w:tcW w:w="556"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结果</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纠正</w:t>
            </w:r>
          </w:p>
        </w:tc>
        <w:tc>
          <w:tcPr>
            <w:tcW w:w="556"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其他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结果</w:t>
            </w:r>
          </w:p>
        </w:tc>
        <w:tc>
          <w:tcPr>
            <w:tcW w:w="556"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尚未</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审结</w:t>
            </w:r>
          </w:p>
        </w:tc>
        <w:tc>
          <w:tcPr>
            <w:tcW w:w="598"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pStyle w:val="5"/>
              <w:keepNext w:val="0"/>
              <w:keepLines w:val="0"/>
              <w:widowControl/>
              <w:suppressLineNumbers w:val="0"/>
              <w:jc w:val="center"/>
              <w:rPr>
                <w:rFonts w:hint="eastAsia" w:ascii="宋体" w:hAnsi="宋体" w:eastAsia="宋体" w:cs="宋体"/>
                <w:kern w:val="0"/>
                <w:sz w:val="24"/>
                <w:szCs w:val="24"/>
              </w:rPr>
            </w:pPr>
            <w:r>
              <w:rPr>
                <w:rFonts w:hint="eastAsia" w:ascii="宋体" w:hAnsi="宋体" w:eastAsia="宋体" w:cs="宋体"/>
                <w:kern w:val="0"/>
                <w:sz w:val="24"/>
                <w:szCs w:val="24"/>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Ex>
        <w:trPr>
          <w:jc w:val="center"/>
        </w:trPr>
        <w:tc>
          <w:tcPr>
            <w:tcW w:w="555" w:type="dxa"/>
            <w:tcBorders>
              <w:top w:val="outset" w:color="auto" w:sz="6" w:space="0"/>
              <w:left w:val="outset" w:color="auto" w:sz="6" w:space="0"/>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c>
          <w:tcPr>
            <w:tcW w:w="555"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c>
          <w:tcPr>
            <w:tcW w:w="555"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c>
          <w:tcPr>
            <w:tcW w:w="555"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c>
          <w:tcPr>
            <w:tcW w:w="597"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c>
          <w:tcPr>
            <w:tcW w:w="555"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c>
          <w:tcPr>
            <w:tcW w:w="555"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c>
          <w:tcPr>
            <w:tcW w:w="555"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c>
          <w:tcPr>
            <w:tcW w:w="555"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c>
          <w:tcPr>
            <w:tcW w:w="597"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c>
          <w:tcPr>
            <w:tcW w:w="556"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c>
          <w:tcPr>
            <w:tcW w:w="556"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c>
          <w:tcPr>
            <w:tcW w:w="556"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c>
          <w:tcPr>
            <w:tcW w:w="556"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c>
          <w:tcPr>
            <w:tcW w:w="598" w:type="dxa"/>
            <w:tcBorders>
              <w:top w:val="outset" w:color="auto" w:sz="6" w:space="0"/>
              <w:left w:val="nil"/>
              <w:bottom w:val="outset" w:color="auto" w:sz="6" w:space="0"/>
              <w:right w:val="outset" w:color="auto" w:sz="6" w:space="0"/>
            </w:tcBorders>
            <w:shd w:val="clear" w:color="auto" w:fill="auto"/>
            <w:tcMar>
              <w:top w:w="75" w:type="dxa"/>
              <w:left w:w="75" w:type="dxa"/>
              <w:bottom w:w="75" w:type="dxa"/>
              <w:right w:w="75" w:type="dxa"/>
            </w:tcMar>
            <w:vAlign w:val="center"/>
          </w:tcPr>
          <w:p>
            <w:pPr>
              <w:keepNext w:val="0"/>
              <w:keepLines w:val="0"/>
              <w:widowControl/>
              <w:suppressLineNumbers w:val="0"/>
              <w:rPr>
                <w:rFonts w:hint="eastAsia" w:ascii="Times New Roman" w:hAnsi="宋体" w:eastAsia="宋体" w:cs="宋体"/>
                <w:kern w:val="0"/>
                <w:sz w:val="24"/>
                <w:szCs w:val="24"/>
                <w:lang w:val="en-US" w:eastAsia="zh-CN"/>
              </w:rPr>
            </w:pPr>
            <w:r>
              <w:rPr>
                <w:rFonts w:hint="eastAsia" w:ascii="Times New Roman" w:hAnsi="宋体" w:eastAsia="宋体" w:cs="宋体"/>
                <w:kern w:val="0"/>
                <w:sz w:val="24"/>
                <w:szCs w:val="24"/>
                <w:lang w:val="en-US" w:eastAsia="zh-CN"/>
              </w:rPr>
              <w:t>0</w:t>
            </w:r>
          </w:p>
        </w:tc>
      </w:tr>
    </w:tbl>
    <w:p>
      <w:pPr>
        <w:pStyle w:val="5"/>
        <w:keepNext w:val="0"/>
        <w:keepLines w:val="0"/>
        <w:widowControl/>
        <w:numPr>
          <w:ilvl w:val="0"/>
          <w:numId w:val="0"/>
        </w:numPr>
        <w:suppressLineNumbers w:val="0"/>
        <w:ind w:left="420" w:leftChars="0" w:right="0" w:rightChars="0"/>
        <w:jc w:val="both"/>
        <w:rPr>
          <w:rStyle w:val="4"/>
          <w:rFonts w:hint="eastAsia" w:ascii="黑体" w:hAnsi="黑体" w:eastAsia="黑体" w:cs="黑体"/>
          <w:b w:val="0"/>
          <w:bCs/>
          <w:sz w:val="32"/>
          <w:szCs w:val="32"/>
        </w:rPr>
      </w:pPr>
    </w:p>
    <w:p>
      <w:pPr>
        <w:pStyle w:val="5"/>
        <w:keepNext w:val="0"/>
        <w:keepLines w:val="0"/>
        <w:widowControl/>
        <w:numPr>
          <w:ilvl w:val="0"/>
          <w:numId w:val="1"/>
        </w:numPr>
        <w:suppressLineNumbers w:val="0"/>
        <w:ind w:left="0" w:firstLine="420"/>
        <w:jc w:val="both"/>
        <w:rPr>
          <w:rStyle w:val="4"/>
          <w:rFonts w:hint="eastAsia" w:ascii="黑体" w:hAnsi="黑体" w:eastAsia="黑体" w:cs="黑体"/>
          <w:b w:val="0"/>
          <w:bCs/>
          <w:sz w:val="32"/>
          <w:szCs w:val="32"/>
        </w:rPr>
      </w:pPr>
      <w:r>
        <w:rPr>
          <w:rStyle w:val="4"/>
          <w:rFonts w:hint="eastAsia" w:ascii="黑体" w:hAnsi="黑体" w:eastAsia="黑体" w:cs="黑体"/>
          <w:b w:val="0"/>
          <w:bCs/>
          <w:sz w:val="32"/>
          <w:szCs w:val="32"/>
        </w:rPr>
        <w:t>存在的主要问题及改进情况</w:t>
      </w:r>
    </w:p>
    <w:p>
      <w:pPr>
        <w:pStyle w:val="5"/>
        <w:keepNext w:val="0"/>
        <w:keepLines w:val="0"/>
        <w:widowControl/>
        <w:numPr>
          <w:ilvl w:val="0"/>
          <w:numId w:val="0"/>
        </w:numPr>
        <w:suppressLineNumbers w:val="0"/>
        <w:ind w:left="420" w:leftChars="0" w:right="0" w:rightChars="0" w:firstLine="640" w:firstLineChars="200"/>
        <w:jc w:val="both"/>
        <w:rPr>
          <w:rStyle w:val="4"/>
          <w:rFonts w:hint="eastAsia" w:ascii="宋体" w:hAnsi="宋体" w:eastAsia="宋体" w:cs="宋体"/>
          <w:b/>
          <w:bCs w:val="0"/>
        </w:rPr>
      </w:pPr>
      <w:r>
        <w:rPr>
          <w:rFonts w:hint="eastAsia" w:ascii="仿宋_GB2312" w:hAnsi="仿宋_GB2312" w:eastAsia="仿宋_GB2312" w:cs="仿宋_GB2312"/>
          <w:i w:val="0"/>
          <w:iCs w:val="0"/>
          <w:caps w:val="0"/>
          <w:color w:val="333333"/>
          <w:spacing w:val="0"/>
          <w:sz w:val="32"/>
          <w:szCs w:val="32"/>
          <w:shd w:val="clear" w:fill="FFFFFF"/>
          <w:lang w:val="en-US" w:eastAsia="zh-CN"/>
        </w:rPr>
        <w:t>2022年，</w:t>
      </w:r>
      <w:r>
        <w:rPr>
          <w:rFonts w:hint="eastAsia" w:ascii="仿宋_GB2312" w:hAnsi="仿宋_GB2312" w:eastAsia="仿宋_GB2312" w:cs="仿宋_GB2312"/>
          <w:i w:val="0"/>
          <w:iCs w:val="0"/>
          <w:caps w:val="0"/>
          <w:color w:val="333333"/>
          <w:spacing w:val="0"/>
          <w:sz w:val="32"/>
          <w:szCs w:val="32"/>
          <w:shd w:val="clear" w:fill="FFFFFF"/>
        </w:rPr>
        <w:t>区</w:t>
      </w:r>
      <w:r>
        <w:rPr>
          <w:rFonts w:hint="eastAsia" w:ascii="仿宋_GB2312" w:hAnsi="仿宋_GB2312" w:eastAsia="仿宋_GB2312" w:cs="仿宋_GB2312"/>
          <w:i w:val="0"/>
          <w:iCs w:val="0"/>
          <w:caps w:val="0"/>
          <w:color w:val="333333"/>
          <w:spacing w:val="0"/>
          <w:sz w:val="32"/>
          <w:szCs w:val="32"/>
          <w:shd w:val="clear" w:fill="FFFFFF"/>
          <w:lang w:eastAsia="zh-CN"/>
        </w:rPr>
        <w:t>退役军人事务局</w:t>
      </w:r>
      <w:r>
        <w:rPr>
          <w:rFonts w:hint="eastAsia" w:ascii="仿宋_GB2312" w:hAnsi="仿宋_GB2312" w:eastAsia="仿宋_GB2312" w:cs="仿宋_GB2312"/>
          <w:i w:val="0"/>
          <w:iCs w:val="0"/>
          <w:caps w:val="0"/>
          <w:color w:val="333333"/>
          <w:spacing w:val="0"/>
          <w:sz w:val="32"/>
          <w:szCs w:val="32"/>
          <w:shd w:val="clear" w:fill="FFFFFF"/>
        </w:rPr>
        <w:t>严格按照省、市相关规范性文件执行，相关规范性文件已在省市级相应政府网站公示</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扩大政府信息公开范围，不断深入推进政府信息公开工作，取得了一定的成绩，但也存在</w:t>
      </w:r>
      <w:r>
        <w:rPr>
          <w:rFonts w:hint="eastAsia" w:ascii="仿宋_GB2312" w:hAnsi="仿宋_GB2312" w:eastAsia="仿宋_GB2312" w:cs="仿宋_GB2312"/>
          <w:i w:val="0"/>
          <w:iCs w:val="0"/>
          <w:caps w:val="0"/>
          <w:color w:val="333333"/>
          <w:spacing w:val="0"/>
          <w:sz w:val="32"/>
          <w:szCs w:val="32"/>
          <w:shd w:val="clear" w:fill="FFFFFF"/>
          <w:lang w:eastAsia="zh-CN"/>
        </w:rPr>
        <w:t>一些</w:t>
      </w:r>
      <w:r>
        <w:rPr>
          <w:rFonts w:hint="eastAsia" w:ascii="仿宋_GB2312" w:hAnsi="仿宋_GB2312" w:eastAsia="仿宋_GB2312" w:cs="仿宋_GB2312"/>
          <w:i w:val="0"/>
          <w:iCs w:val="0"/>
          <w:caps w:val="0"/>
          <w:color w:val="333333"/>
          <w:spacing w:val="0"/>
          <w:sz w:val="32"/>
          <w:szCs w:val="32"/>
          <w:shd w:val="clear" w:fill="FFFFFF"/>
        </w:rPr>
        <w:t>问题</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一是公开内容较为单一；二是公开政府信息主动性、时效性有待进一步加强。下一步，我局将继续加强信息公开力度，拓展政府信息公开内容；进一步创新公开形式，提升服务质量和效率，确保政府信息公开准确、规范；压实责任，形成由主要领导负责、分管领导具体抓、办公室指定专人承办日常事务层层落实责任机制，确保信息公开主动性、时效性。</w:t>
      </w:r>
    </w:p>
    <w:p>
      <w:pPr>
        <w:pStyle w:val="5"/>
        <w:keepNext w:val="0"/>
        <w:keepLines w:val="0"/>
        <w:widowControl/>
        <w:numPr>
          <w:ilvl w:val="0"/>
          <w:numId w:val="0"/>
        </w:numPr>
        <w:suppressLineNumbers w:val="0"/>
        <w:ind w:right="0" w:rightChars="0" w:firstLine="640" w:firstLineChars="200"/>
        <w:jc w:val="both"/>
        <w:rPr>
          <w:rStyle w:val="4"/>
          <w:rFonts w:hint="eastAsia" w:ascii="黑体" w:hAnsi="黑体" w:eastAsia="黑体" w:cs="黑体"/>
          <w:b w:val="0"/>
          <w:bCs/>
          <w:sz w:val="32"/>
          <w:szCs w:val="32"/>
        </w:rPr>
      </w:pPr>
      <w:r>
        <w:rPr>
          <w:rStyle w:val="4"/>
          <w:rFonts w:hint="eastAsia" w:ascii="黑体" w:hAnsi="黑体" w:eastAsia="黑体" w:cs="黑体"/>
          <w:b w:val="0"/>
          <w:bCs/>
          <w:sz w:val="32"/>
          <w:szCs w:val="32"/>
          <w:lang w:eastAsia="zh-CN"/>
        </w:rPr>
        <w:t>六、</w:t>
      </w:r>
      <w:r>
        <w:rPr>
          <w:rStyle w:val="4"/>
          <w:rFonts w:hint="eastAsia" w:ascii="黑体" w:hAnsi="黑体" w:eastAsia="黑体" w:cs="黑体"/>
          <w:b w:val="0"/>
          <w:bCs/>
          <w:sz w:val="32"/>
          <w:szCs w:val="32"/>
        </w:rPr>
        <w:t>其他需要报告的事项</w:t>
      </w:r>
    </w:p>
    <w:p>
      <w:pPr>
        <w:pStyle w:val="5"/>
        <w:keepNext w:val="0"/>
        <w:keepLines w:val="0"/>
        <w:widowControl/>
        <w:numPr>
          <w:ilvl w:val="0"/>
          <w:numId w:val="0"/>
        </w:numPr>
        <w:suppressLineNumbers w:val="0"/>
        <w:ind w:left="420" w:leftChars="0" w:right="0" w:rightChars="0" w:firstLine="320" w:firstLineChars="100"/>
        <w:jc w:val="both"/>
        <w:rPr>
          <w:rStyle w:val="4"/>
          <w:rFonts w:hint="eastAsia" w:ascii="仿宋_GB2312" w:hAnsi="仿宋_GB2312" w:eastAsia="仿宋_GB2312" w:cs="仿宋_GB2312"/>
          <w:b w:val="0"/>
          <w:bCs/>
          <w:sz w:val="32"/>
          <w:szCs w:val="32"/>
        </w:rPr>
      </w:pPr>
      <w:r>
        <w:rPr>
          <w:rStyle w:val="4"/>
          <w:rFonts w:hint="eastAsia" w:ascii="仿宋_GB2312" w:hAnsi="仿宋_GB2312" w:eastAsia="仿宋_GB2312" w:cs="仿宋_GB2312"/>
          <w:b w:val="0"/>
          <w:bCs/>
          <w:sz w:val="32"/>
          <w:szCs w:val="32"/>
          <w:lang w:val="en-US" w:eastAsia="zh-CN"/>
        </w:rPr>
        <w:t>根据</w:t>
      </w:r>
      <w:r>
        <w:rPr>
          <w:rStyle w:val="4"/>
          <w:rFonts w:hint="eastAsia" w:ascii="仿宋_GB2312" w:hAnsi="仿宋_GB2312" w:eastAsia="仿宋_GB2312" w:cs="仿宋_GB2312"/>
          <w:b w:val="0"/>
          <w:bCs/>
          <w:sz w:val="32"/>
          <w:szCs w:val="32"/>
        </w:rPr>
        <w:t>《政府信息公开信息处理费管理办法》中</w:t>
      </w:r>
      <w:r>
        <w:rPr>
          <w:rStyle w:val="4"/>
          <w:rFonts w:hint="eastAsia" w:ascii="仿宋_GB2312" w:hAnsi="仿宋_GB2312" w:eastAsia="仿宋_GB2312" w:cs="仿宋_GB2312"/>
          <w:b w:val="0"/>
          <w:bCs/>
          <w:sz w:val="32"/>
          <w:szCs w:val="32"/>
          <w:lang w:eastAsia="zh-CN"/>
        </w:rPr>
        <w:t>的</w:t>
      </w:r>
      <w:r>
        <w:rPr>
          <w:rStyle w:val="4"/>
          <w:rFonts w:hint="eastAsia" w:ascii="仿宋_GB2312" w:hAnsi="仿宋_GB2312" w:eastAsia="仿宋_GB2312" w:cs="仿宋_GB2312"/>
          <w:b w:val="0"/>
          <w:bCs/>
          <w:sz w:val="32"/>
          <w:szCs w:val="32"/>
        </w:rPr>
        <w:t>规定</w:t>
      </w:r>
      <w:r>
        <w:rPr>
          <w:rStyle w:val="4"/>
          <w:rFonts w:hint="eastAsia" w:ascii="仿宋_GB2312" w:hAnsi="仿宋_GB2312" w:eastAsia="仿宋_GB2312" w:cs="仿宋_GB2312"/>
          <w:b w:val="0"/>
          <w:bCs/>
          <w:sz w:val="32"/>
          <w:szCs w:val="32"/>
          <w:lang w:eastAsia="zh-CN"/>
        </w:rPr>
        <w:t>，在2022年，</w:t>
      </w:r>
      <w:bookmarkStart w:id="0" w:name="_GoBack"/>
      <w:bookmarkEnd w:id="0"/>
      <w:r>
        <w:rPr>
          <w:rStyle w:val="4"/>
          <w:rFonts w:hint="eastAsia" w:ascii="仿宋_GB2312" w:hAnsi="仿宋_GB2312" w:eastAsia="仿宋_GB2312" w:cs="仿宋_GB2312"/>
          <w:b w:val="0"/>
          <w:bCs/>
          <w:sz w:val="32"/>
          <w:szCs w:val="32"/>
        </w:rPr>
        <w:t>我局无收取政府信息公开信息处理费情况。</w:t>
      </w:r>
    </w:p>
    <w:p>
      <w:pPr>
        <w:pStyle w:val="5"/>
        <w:keepNext w:val="0"/>
        <w:keepLines w:val="0"/>
        <w:widowControl/>
        <w:numPr>
          <w:ilvl w:val="0"/>
          <w:numId w:val="0"/>
        </w:numPr>
        <w:suppressLineNumbers w:val="0"/>
        <w:ind w:leftChars="0" w:right="0" w:rightChars="0"/>
        <w:jc w:val="both"/>
        <w:rPr>
          <w:rStyle w:val="4"/>
          <w:rFonts w:hint="eastAsia" w:ascii="仿宋_GB2312" w:hAnsi="仿宋_GB2312" w:eastAsia="仿宋_GB2312" w:cs="仿宋_GB2312"/>
          <w:b w:val="0"/>
          <w:bCs/>
          <w:sz w:val="32"/>
          <w:szCs w:val="32"/>
        </w:rPr>
      </w:pPr>
    </w:p>
    <w:p>
      <w:pPr>
        <w:pStyle w:val="5"/>
        <w:keepNext w:val="0"/>
        <w:keepLines w:val="0"/>
        <w:widowControl/>
        <w:numPr>
          <w:ilvl w:val="0"/>
          <w:numId w:val="0"/>
        </w:numPr>
        <w:suppressLineNumbers w:val="0"/>
        <w:ind w:leftChars="0" w:right="0" w:rightChars="0"/>
        <w:jc w:val="both"/>
        <w:rPr>
          <w:rStyle w:val="4"/>
          <w:rFonts w:hint="eastAsia" w:ascii="仿宋_GB2312" w:hAnsi="仿宋_GB2312" w:eastAsia="仿宋_GB2312" w:cs="仿宋_GB2312"/>
          <w:b/>
          <w:bCs w:val="0"/>
          <w:sz w:val="32"/>
          <w:szCs w:val="32"/>
        </w:rPr>
      </w:pPr>
    </w:p>
    <w:p>
      <w:pPr>
        <w:numPr>
          <w:ilvl w:val="0"/>
          <w:numId w:val="0"/>
        </w:numPr>
        <w:jc w:val="both"/>
        <w:rPr>
          <w:rFonts w:hint="eastAsia" w:ascii="仿宋_GB2312" w:hAnsi="仿宋_GB2312" w:eastAsia="仿宋_GB2312" w:cs="仿宋_GB2312"/>
          <w:i w:val="0"/>
          <w:iCs w:val="0"/>
          <w:caps w:val="0"/>
          <w:color w:val="333333"/>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00000000" w:usb1="0000000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228B11"/>
    <w:multiLevelType w:val="singleLevel"/>
    <w:tmpl w:val="48228B1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15"/>
    <w:basedOn w:val="2"/>
    <w:qFormat/>
    <w:uiPriority w:val="0"/>
    <w:rPr>
      <w:rFonts w:hint="default" w:ascii="Times New Roman" w:hAnsi="Times New Roman" w:cs="Times New Roman"/>
      <w:b/>
    </w:rPr>
  </w:style>
  <w:style w:type="paragraph" w:customStyle="1" w:styleId="5">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2023-01-13T16:40:00Z</dcterms:created>
  <dc:creator>福毅</dc:creator>
  <cp:lastModifiedBy>刘宇昕的iPhone</cp:lastModifiedBy>
  <dcterms:modified xsi:type="dcterms:W3CDTF">2023-01-18T15:59:56Z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2052-11.33.1</vt:lpwstr>
  </property>
  <property fmtid="{D5CDD505-2E9C-101B-9397-08002B2CF9AE}" pid="3" name="ICV">
    <vt:lpwstr>C72157FD088044D788ED7022D1E051B2</vt:lpwstr>
  </property>
</Properties>
</file>