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4"/>
          <w:szCs w:val="44"/>
        </w:rPr>
      </w:pPr>
      <w:r>
        <w:rPr>
          <w:rFonts w:hint="eastAsia" w:ascii="宋体" w:hAnsi="宋体" w:eastAsia="宋体"/>
          <w:b/>
          <w:sz w:val="44"/>
          <w:szCs w:val="44"/>
        </w:rPr>
        <w:t>《佳木斯市南部城区供热环网工程特许经营项目实施</w:t>
      </w:r>
      <w:r>
        <w:rPr>
          <w:rFonts w:ascii="宋体" w:hAnsi="宋体" w:eastAsia="宋体"/>
          <w:b/>
          <w:sz w:val="44"/>
          <w:szCs w:val="44"/>
        </w:rPr>
        <w:t>方案》</w:t>
      </w:r>
      <w:r>
        <w:rPr>
          <w:rFonts w:hint="eastAsia" w:ascii="宋体" w:hAnsi="宋体" w:eastAsia="宋体"/>
          <w:b/>
          <w:sz w:val="44"/>
          <w:szCs w:val="44"/>
        </w:rPr>
        <w:t>解读</w:t>
      </w:r>
    </w:p>
    <w:p>
      <w:pPr>
        <w:rPr>
          <w:rFonts w:ascii="仿宋" w:hAnsi="仿宋" w:eastAsia="仿宋"/>
          <w:sz w:val="32"/>
          <w:szCs w:val="32"/>
        </w:rPr>
      </w:pPr>
    </w:p>
    <w:p>
      <w:pPr>
        <w:numPr>
          <w:ilvl w:val="0"/>
          <w:numId w:val="1"/>
        </w:numPr>
        <w:spacing w:line="600" w:lineRule="exact"/>
        <w:ind w:firstLine="680"/>
        <w:rPr>
          <w:rFonts w:hint="eastAsia" w:ascii="宋体" w:hAnsi="宋体" w:eastAsia="宋体"/>
          <w:b/>
          <w:sz w:val="32"/>
          <w:szCs w:val="32"/>
        </w:rPr>
      </w:pPr>
      <w:r>
        <w:rPr>
          <w:rFonts w:hint="eastAsia" w:ascii="宋体" w:hAnsi="宋体" w:eastAsia="宋体"/>
          <w:b/>
          <w:sz w:val="32"/>
          <w:szCs w:val="32"/>
        </w:rPr>
        <w:t>项目背景</w:t>
      </w:r>
    </w:p>
    <w:p>
      <w:pPr>
        <w:spacing w:line="600" w:lineRule="exact"/>
        <w:ind w:firstLine="680"/>
        <w:rPr>
          <w:rFonts w:hint="eastAsia" w:ascii="仿宋_GB2312" w:hAnsi="Times New Roman" w:eastAsia="仿宋_GB2312"/>
          <w:sz w:val="32"/>
          <w:szCs w:val="32"/>
        </w:rPr>
      </w:pPr>
      <w:r>
        <w:rPr>
          <w:rFonts w:hint="eastAsia" w:ascii="仿宋_GB2312" w:hAnsi="Times New Roman" w:eastAsia="仿宋_GB2312"/>
          <w:sz w:val="32"/>
          <w:szCs w:val="32"/>
        </w:rPr>
        <w:t>随着城市逐年发展，面临大幅增长的采暖建筑,</w:t>
      </w:r>
      <w:r>
        <w:rPr>
          <w:rFonts w:hint="eastAsia" w:ascii="仿宋_GB2312" w:eastAsia="仿宋_GB2312"/>
          <w:sz w:val="32"/>
          <w:szCs w:val="32"/>
        </w:rPr>
        <w:t xml:space="preserve"> </w:t>
      </w:r>
      <w:r>
        <w:rPr>
          <w:rFonts w:hint="eastAsia" w:ascii="仿宋_GB2312" w:hAnsi="Times New Roman" w:eastAsia="仿宋_GB2312"/>
          <w:sz w:val="32"/>
          <w:szCs w:val="32"/>
        </w:rPr>
        <w:t>目前在佳木斯客运西站南部区域及胜利西路以北松桦街东西两侧的区域、中华路至双合路沿线区域均为现有大型集中供热的空白区域，为补充我市大型集中供热的空白区域,提升我市供热能力，满足我市供热需求，促进经济发展，我市通过引进社会资本以特许经营模式实施佳木斯市南部城区供热环网工程。</w:t>
      </w:r>
    </w:p>
    <w:p>
      <w:pPr>
        <w:spacing w:line="600" w:lineRule="exact"/>
        <w:ind w:left="680"/>
        <w:rPr>
          <w:rFonts w:hint="eastAsia" w:ascii="宋体" w:hAnsi="宋体" w:eastAsia="宋体"/>
          <w:b/>
          <w:sz w:val="32"/>
          <w:szCs w:val="32"/>
        </w:rPr>
      </w:pPr>
      <w:r>
        <w:rPr>
          <w:rFonts w:hint="eastAsia" w:ascii="宋体" w:hAnsi="宋体" w:eastAsia="宋体"/>
          <w:b/>
          <w:sz w:val="32"/>
          <w:szCs w:val="32"/>
        </w:rPr>
        <w:t>二、编制依据</w:t>
      </w:r>
    </w:p>
    <w:p>
      <w:pPr>
        <w:adjustRightInd w:val="0"/>
        <w:snapToGrid w:val="0"/>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方案编制主要依据《基础设施和公用事业特许经营管理办法》</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国家发展改革委、财政部等6部委第25号令</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、《黑龙江省重大行政决策程序暂行规定》（黑龙</w:t>
      </w:r>
      <w:bookmarkStart w:id="4" w:name="_GoBack"/>
      <w:bookmarkEnd w:id="4"/>
      <w:r>
        <w:rPr>
          <w:rFonts w:hint="eastAsia" w:ascii="仿宋_GB2312" w:hAnsi="Times New Roman" w:eastAsia="仿宋_GB2312"/>
          <w:sz w:val="32"/>
          <w:szCs w:val="32"/>
        </w:rPr>
        <w:t xml:space="preserve">江省人民政府令第4号）、《黑龙江省住房和城乡建设厅关于加快推进2020年全省城镇供热老旧管网改造的通知》（黑建函〔2020〕238号）、《中华人民共和国政府采购法实施条例》、《中华人民共和国招标投标法》等国、省出台相关政策。 </w:t>
      </w:r>
    </w:p>
    <w:p>
      <w:pPr>
        <w:spacing w:line="600" w:lineRule="exact"/>
        <w:ind w:left="680"/>
        <w:rPr>
          <w:rFonts w:hint="eastAsia" w:ascii="宋体" w:hAnsi="宋体" w:eastAsia="宋体"/>
          <w:b/>
          <w:sz w:val="32"/>
          <w:szCs w:val="32"/>
        </w:rPr>
      </w:pPr>
      <w:bookmarkStart w:id="0" w:name="_Toc20906"/>
      <w:bookmarkStart w:id="1" w:name="_Toc4473"/>
      <w:bookmarkStart w:id="2" w:name="_Toc25806"/>
      <w:bookmarkStart w:id="3" w:name="_Toc28010"/>
      <w:r>
        <w:rPr>
          <w:rFonts w:hint="eastAsia" w:ascii="宋体" w:hAnsi="宋体" w:eastAsia="宋体"/>
          <w:b/>
          <w:sz w:val="32"/>
          <w:szCs w:val="32"/>
        </w:rPr>
        <w:t>三、编制原则</w:t>
      </w:r>
      <w:bookmarkEnd w:id="0"/>
      <w:bookmarkEnd w:id="1"/>
      <w:bookmarkEnd w:id="2"/>
      <w:bookmarkEnd w:id="3"/>
    </w:p>
    <w:p>
      <w:pPr>
        <w:adjustRightInd w:val="0"/>
        <w:snapToGrid w:val="0"/>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本实施方案坚持公开、公平、公正，保护各方信赖利益，并遵循以下原则：</w:t>
      </w:r>
    </w:p>
    <w:p>
      <w:pPr>
        <w:adjustRightInd w:val="0"/>
        <w:snapToGrid w:val="0"/>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1、合法规范，可持续发展，严格按照国家有关政策法规的要求规范运作，通过创新运营机制，建立产权清晰、权责明确、政企分开、管理科学的基础设施项目管理制度，促进项目可持续发展。</w:t>
      </w:r>
    </w:p>
    <w:p>
      <w:pPr>
        <w:adjustRightInd w:val="0"/>
        <w:snapToGrid w:val="0"/>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2、发挥社会资本融资、专业、技术和管理优势，提高公共服务质量效率。</w:t>
      </w:r>
    </w:p>
    <w:p>
      <w:pPr>
        <w:adjustRightInd w:val="0"/>
        <w:snapToGrid w:val="0"/>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3、转变政府职能，强化政府与社会资本协商合作。</w:t>
      </w:r>
    </w:p>
    <w:p>
      <w:pPr>
        <w:adjustRightInd w:val="0"/>
        <w:snapToGrid w:val="0"/>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4、保护社会资本合法权益，保证特许经营持续性和稳定性。</w:t>
      </w:r>
    </w:p>
    <w:p>
      <w:pPr>
        <w:pStyle w:val="2"/>
        <w:spacing w:line="600" w:lineRule="exact"/>
        <w:ind w:left="105" w:leftChars="50" w:firstLine="480" w:firstLineChars="150"/>
        <w:rPr>
          <w:rFonts w:hint="eastAsia" w:ascii="仿宋_GB2312" w:hAnsi="Times New Roman" w:eastAsia="仿宋_GB2312" w:cstheme="minorBidi"/>
          <w:b w:val="0"/>
          <w:bCs w:val="0"/>
          <w:kern w:val="2"/>
          <w:sz w:val="32"/>
          <w:szCs w:val="32"/>
          <w:lang w:val="en-US" w:bidi="ar-SA"/>
        </w:rPr>
      </w:pPr>
      <w:r>
        <w:rPr>
          <w:rFonts w:hint="eastAsia" w:ascii="仿宋_GB2312" w:hAnsi="Times New Roman" w:eastAsia="仿宋_GB2312" w:cstheme="minorBidi"/>
          <w:b w:val="0"/>
          <w:bCs w:val="0"/>
          <w:kern w:val="2"/>
          <w:sz w:val="32"/>
          <w:szCs w:val="32"/>
          <w:lang w:val="en-US" w:bidi="ar-SA"/>
        </w:rPr>
        <w:t>5、兼顾经营性和公益性平衡，维护公共利益。</w:t>
      </w:r>
    </w:p>
    <w:p>
      <w:pPr>
        <w:spacing w:line="600" w:lineRule="exact"/>
        <w:ind w:left="680"/>
        <w:rPr>
          <w:rFonts w:hint="eastAsia" w:ascii="宋体" w:hAnsi="宋体" w:eastAsia="宋体"/>
          <w:b/>
          <w:sz w:val="32"/>
          <w:szCs w:val="32"/>
        </w:rPr>
      </w:pPr>
      <w:r>
        <w:rPr>
          <w:rFonts w:hint="eastAsia" w:ascii="宋体" w:hAnsi="宋体" w:eastAsia="宋体"/>
          <w:b/>
          <w:sz w:val="32"/>
          <w:szCs w:val="32"/>
        </w:rPr>
        <w:t>四、方案内容</w:t>
      </w:r>
    </w:p>
    <w:p>
      <w:pPr>
        <w:spacing w:line="600" w:lineRule="exact"/>
        <w:ind w:firstLine="680"/>
        <w:rPr>
          <w:rFonts w:hint="eastAsia" w:ascii="仿宋_GB2312" w:hAnsi="Times New Roman" w:eastAsia="仿宋_GB2312"/>
          <w:sz w:val="32"/>
          <w:szCs w:val="32"/>
        </w:rPr>
      </w:pPr>
      <w:r>
        <w:rPr>
          <w:rFonts w:hint="eastAsia" w:ascii="仿宋_GB2312" w:hAnsi="Times New Roman" w:eastAsia="仿宋_GB2312"/>
          <w:sz w:val="32"/>
          <w:szCs w:val="32"/>
        </w:rPr>
        <w:t xml:space="preserve">该方案内容分为两个方面，一是新建热网工程，新建供热管网单程长约23公里，东侧连接三合路处的核供热管道，西侧与现有天福热源现有的供热管网进行连接，热网工程的主要敷设地段在松桦街沿线、胜利西路沿线、中华路沿线，项目的实施，提升了整体供热能力，承接了胜利西路南部及松桦街东西两侧、中华路沿线区域的供热负荷。二是计划开展我市865万平方米供热面积（现有供热面积为383万平方米，新增加供热面积为482万平方米）经营权有偿转让给企业,特许经营合作期限为28年。 </w:t>
      </w:r>
    </w:p>
    <w:p>
      <w:pPr>
        <w:spacing w:line="600" w:lineRule="exact"/>
        <w:ind w:left="680"/>
        <w:rPr>
          <w:rFonts w:hint="eastAsia" w:ascii="宋体" w:hAnsi="宋体" w:eastAsia="宋体"/>
          <w:b/>
          <w:sz w:val="32"/>
          <w:szCs w:val="32"/>
        </w:rPr>
      </w:pPr>
      <w:r>
        <w:rPr>
          <w:rFonts w:hint="eastAsia" w:ascii="宋体" w:hAnsi="宋体" w:eastAsia="宋体"/>
          <w:b/>
          <w:sz w:val="32"/>
          <w:szCs w:val="32"/>
        </w:rPr>
        <w:t>五、效益分析</w:t>
      </w:r>
    </w:p>
    <w:p>
      <w:pPr>
        <w:spacing w:line="600" w:lineRule="exact"/>
        <w:ind w:firstLine="680"/>
        <w:rPr>
          <w:rFonts w:hint="eastAsia" w:ascii="仿宋_GB2312" w:hAnsi="Times New Roman" w:eastAsia="仿宋_GB2312"/>
          <w:sz w:val="32"/>
          <w:szCs w:val="32"/>
        </w:rPr>
      </w:pPr>
      <w:r>
        <w:rPr>
          <w:rFonts w:hint="eastAsia" w:ascii="仿宋_GB2312" w:hAnsi="Times New Roman" w:eastAsia="仿宋_GB2312"/>
          <w:sz w:val="32"/>
          <w:szCs w:val="32"/>
        </w:rPr>
        <w:t xml:space="preserve">通过项目建设可以解决三个方面问题。一是补充大型集中供热的空白区域,满足我市未来发展大幅增长的采暖建筑供热需求；二是盘活国有资产，促进经济发展，增加我市财政收入；三是管网建设将能源分配进行进一步合理性划分，以联合供热的形式，优化了能源利用率。 </w:t>
      </w:r>
    </w:p>
    <w:p>
      <w:pPr>
        <w:pStyle w:val="4"/>
        <w:spacing w:line="600" w:lineRule="exact"/>
        <w:ind w:firstLine="480"/>
      </w:pPr>
    </w:p>
    <w:p>
      <w:pPr>
        <w:spacing w:line="60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E5B9"/>
    <w:multiLevelType w:val="singleLevel"/>
    <w:tmpl w:val="05E5E5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32A"/>
    <w:rsid w:val="00104CB6"/>
    <w:rsid w:val="00330EB6"/>
    <w:rsid w:val="003D6FAA"/>
    <w:rsid w:val="004E5D42"/>
    <w:rsid w:val="006D1FF6"/>
    <w:rsid w:val="007669C1"/>
    <w:rsid w:val="0078234B"/>
    <w:rsid w:val="00816FB7"/>
    <w:rsid w:val="00877335"/>
    <w:rsid w:val="00966CF7"/>
    <w:rsid w:val="00AC459D"/>
    <w:rsid w:val="00B609E6"/>
    <w:rsid w:val="00BA7E5A"/>
    <w:rsid w:val="00D0532A"/>
    <w:rsid w:val="00E33750"/>
    <w:rsid w:val="00F2723E"/>
    <w:rsid w:val="00FA73A6"/>
    <w:rsid w:val="7FBFA672"/>
    <w:rsid w:val="7FFFA166"/>
    <w:rsid w:val="DEFF6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1"/>
    <w:pPr>
      <w:autoSpaceDE w:val="0"/>
      <w:autoSpaceDN w:val="0"/>
      <w:ind w:left="867" w:hanging="526"/>
      <w:jc w:val="left"/>
      <w:outlineLvl w:val="1"/>
    </w:pPr>
    <w:rPr>
      <w:rFonts w:ascii="宋体" w:hAnsi="宋体" w:eastAsia="宋体" w:cs="宋体"/>
      <w:b/>
      <w:bCs/>
      <w:kern w:val="0"/>
      <w:sz w:val="30"/>
      <w:szCs w:val="30"/>
      <w:lang w:val="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9"/>
    <w:qFormat/>
    <w:uiPriority w:val="0"/>
    <w:pPr>
      <w:jc w:val="center"/>
    </w:pPr>
    <w:rPr>
      <w:rFonts w:ascii="仿宋_GB2312" w:hAnsi="Calibri" w:eastAsia="仿宋_GB2312" w:cs="Times New Roman"/>
      <w:sz w:val="36"/>
    </w:rPr>
  </w:style>
  <w:style w:type="paragraph" w:styleId="4">
    <w:name w:val="Body Text 2"/>
    <w:basedOn w:val="1"/>
    <w:link w:val="10"/>
    <w:qFormat/>
    <w:uiPriority w:val="0"/>
    <w:pPr>
      <w:snapToGrid w:val="0"/>
      <w:spacing w:after="60" w:line="460" w:lineRule="exact"/>
      <w:ind w:firstLine="200" w:firstLineChars="200"/>
      <w:jc w:val="left"/>
    </w:pPr>
    <w:rPr>
      <w:rFonts w:ascii="华文细黑" w:hAnsi="华文细黑" w:eastAsia="华文细黑" w:cs="Times New Roman"/>
      <w:color w:val="FF0000"/>
      <w:kern w:val="0"/>
      <w:sz w:val="24"/>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 Char"/>
    <w:basedOn w:val="8"/>
    <w:link w:val="3"/>
    <w:qFormat/>
    <w:uiPriority w:val="0"/>
    <w:rPr>
      <w:rFonts w:ascii="仿宋_GB2312" w:hAnsi="Calibri" w:eastAsia="仿宋_GB2312" w:cs="Times New Roman"/>
      <w:sz w:val="36"/>
    </w:rPr>
  </w:style>
  <w:style w:type="character" w:customStyle="1" w:styleId="10">
    <w:name w:val="正文文本 2 Char"/>
    <w:basedOn w:val="8"/>
    <w:link w:val="4"/>
    <w:qFormat/>
    <w:uiPriority w:val="0"/>
    <w:rPr>
      <w:rFonts w:ascii="华文细黑" w:hAnsi="华文细黑" w:eastAsia="华文细黑" w:cs="Times New Roman"/>
      <w:color w:val="FF0000"/>
      <w:kern w:val="0"/>
      <w:sz w:val="24"/>
    </w:rPr>
  </w:style>
  <w:style w:type="character" w:customStyle="1" w:styleId="11">
    <w:name w:val="标题 2 Char"/>
    <w:basedOn w:val="8"/>
    <w:link w:val="2"/>
    <w:qFormat/>
    <w:uiPriority w:val="1"/>
    <w:rPr>
      <w:rFonts w:ascii="宋体" w:hAnsi="宋体" w:eastAsia="宋体" w:cs="宋体"/>
      <w:b/>
      <w:bCs/>
      <w:kern w:val="0"/>
      <w:sz w:val="30"/>
      <w:szCs w:val="30"/>
      <w:lang w:val="zh-CN" w:bidi="zh-CN"/>
    </w:rPr>
  </w:style>
  <w:style w:type="character" w:customStyle="1" w:styleId="12">
    <w:name w:val="页眉 Char"/>
    <w:basedOn w:val="8"/>
    <w:link w:val="6"/>
    <w:semiHidden/>
    <w:qFormat/>
    <w:uiPriority w:val="99"/>
    <w:rPr>
      <w:sz w:val="18"/>
      <w:szCs w:val="18"/>
    </w:rPr>
  </w:style>
  <w:style w:type="character" w:customStyle="1" w:styleId="13">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145</Words>
  <Characters>833</Characters>
  <Lines>6</Lines>
  <Paragraphs>1</Paragraphs>
  <TotalTime>48</TotalTime>
  <ScaleCrop>false</ScaleCrop>
  <LinksUpToDate>false</LinksUpToDate>
  <CharactersWithSpaces>977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2023-01-19T07:12:00Z</dcterms:created>
  <dc:creator>china</dc:creator>
  <cp:lastModifiedBy>greatwall</cp:lastModifiedBy>
  <dcterms:modified xsi:type="dcterms:W3CDTF">2024-08-15T09:35:00Z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