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5159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jc w:val="center"/>
        <w:textAlignment w:val="baseline"/>
        <w:rPr>
          <w:rFonts w:hint="eastAsia" w:ascii="Times New Roman" w:hAnsi="Times New Roman" w:cs="Times New Roman" w:eastAsiaTheme="majorEastAsia"/>
          <w:b/>
          <w:bCs/>
          <w:kern w:val="2"/>
          <w:sz w:val="44"/>
          <w:szCs w:val="44"/>
          <w:lang w:val="en-US" w:eastAsia="zh-CN" w:bidi="ar-SA"/>
        </w:rPr>
      </w:pPr>
      <w:r>
        <w:rPr>
          <w:rFonts w:hint="eastAsia" w:ascii="Times New Roman" w:hAnsi="Times New Roman" w:cs="Times New Roman" w:eastAsiaTheme="majorEastAsia"/>
          <w:b/>
          <w:bCs/>
          <w:kern w:val="2"/>
          <w:sz w:val="44"/>
          <w:szCs w:val="44"/>
          <w:lang w:val="en-US" w:eastAsia="zh-CN" w:bidi="ar-SA"/>
        </w:rPr>
        <w:t>前进区烟花爆竹经营(零售)布点规划方案</w:t>
      </w:r>
    </w:p>
    <w:p w14:paraId="1A549F0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jc w:val="center"/>
        <w:textAlignment w:val="baseline"/>
        <w:rPr>
          <w:rFonts w:hint="eastAsia" w:ascii="Times New Roman" w:hAnsi="Times New Roman" w:cs="Times New Roman" w:eastAsiaTheme="majorEastAsia"/>
          <w:b/>
          <w:bCs/>
          <w:kern w:val="2"/>
          <w:sz w:val="44"/>
          <w:szCs w:val="44"/>
          <w:lang w:val="en-US" w:eastAsia="zh-CN" w:bidi="ar-SA"/>
        </w:rPr>
      </w:pPr>
      <w:r>
        <w:rPr>
          <w:rFonts w:hint="eastAsia" w:ascii="Times New Roman" w:hAnsi="Times New Roman" w:cs="Times New Roman" w:eastAsiaTheme="majorEastAsia"/>
          <w:b/>
          <w:bCs/>
          <w:kern w:val="2"/>
          <w:sz w:val="44"/>
          <w:szCs w:val="44"/>
          <w:lang w:val="en-US" w:eastAsia="zh-CN" w:bidi="ar-SA"/>
        </w:rPr>
        <w:t>（征求意见稿）</w:t>
      </w:r>
    </w:p>
    <w:p w14:paraId="6FFE5B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jc w:val="center"/>
        <w:textAlignment w:val="baseline"/>
        <w:rPr>
          <w:rFonts w:hint="eastAsia" w:ascii="Times New Roman" w:hAnsi="Times New Roman" w:cs="Times New Roman" w:eastAsiaTheme="majorEastAsia"/>
          <w:b/>
          <w:bCs/>
          <w:kern w:val="2"/>
          <w:sz w:val="44"/>
          <w:szCs w:val="44"/>
          <w:lang w:val="en-US" w:eastAsia="zh-CN" w:bidi="ar-SA"/>
        </w:rPr>
      </w:pPr>
      <w:r>
        <w:rPr>
          <w:rFonts w:hint="eastAsia" w:ascii="Times New Roman" w:hAnsi="Times New Roman" w:cs="Times New Roman" w:eastAsiaTheme="majorEastAsia"/>
          <w:b/>
          <w:bCs/>
          <w:kern w:val="2"/>
          <w:sz w:val="44"/>
          <w:szCs w:val="44"/>
          <w:lang w:val="en-US" w:eastAsia="zh-CN" w:bidi="ar-SA"/>
        </w:rPr>
        <w:t> (2026-2027年)</w:t>
      </w:r>
    </w:p>
    <w:p w14:paraId="6DC29B7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2" w:lineRule="atLeast"/>
        <w:ind w:left="0" w:right="0"/>
        <w:jc w:val="both"/>
        <w:textAlignment w:val="baseline"/>
        <w:rPr>
          <w:rFonts w:hint="eastAsia" w:ascii="仿宋" w:hAnsi="仿宋" w:eastAsia="仿宋" w:cs="仿宋"/>
        </w:rPr>
      </w:pPr>
      <w:r>
        <w:rPr>
          <w:rFonts w:hint="eastAsia" w:ascii="仿宋" w:hAnsi="仿宋" w:eastAsia="仿宋" w:cs="仿宋"/>
          <w:color w:val="4C5157"/>
          <w:spacing w:val="0"/>
          <w:shd w:val="clear" w:fill="FFFFFF"/>
          <w:vertAlign w:val="baseline"/>
        </w:rPr>
        <w:t> </w:t>
      </w:r>
    </w:p>
    <w:p w14:paraId="06EB6DB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加强我区烟花爆竹安全管理，进一步规范烟花爆竹零售经营行为，预防各类安全事故的发生，保障人民群众的生命财产安全，遏制安全生产事故的发生，依据相关法律法规及行业标准，结合我市实际，特制定《前进区烟花爆竹经营(零售)布点规划方案（2026-2027年）》。</w:t>
      </w:r>
    </w:p>
    <w:p w14:paraId="10EE89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35"/>
        <w:jc w:val="both"/>
        <w:textAlignment w:val="baseline"/>
        <w:rPr>
          <w:rFonts w:hint="eastAsia" w:ascii="黑体" w:hAnsi="黑体" w:eastAsia="黑体" w:cs="黑体"/>
        </w:rPr>
      </w:pPr>
      <w:r>
        <w:rPr>
          <w:rFonts w:hint="eastAsia" w:ascii="黑体" w:hAnsi="黑体" w:eastAsia="黑体" w:cs="黑体"/>
          <w:i w:val="0"/>
          <w:iCs w:val="0"/>
          <w:color w:val="000000"/>
          <w:spacing w:val="0"/>
          <w:sz w:val="32"/>
          <w:szCs w:val="32"/>
          <w:shd w:val="clear" w:fill="FFFFFF"/>
          <w:vertAlign w:val="baseline"/>
        </w:rPr>
        <w:t>一、指导思想</w:t>
      </w:r>
    </w:p>
    <w:p w14:paraId="1431A0D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牢固树立“人民至上、生命至上”的安全发展理念，坚持科学发展、安全发展的理念，全面落实“安全第一、预防为主、综合治理”的方针，按照安全规范、便民利民、竞争有序的原则，切实加强烟花爆竹零售经营网点的宏观调控和管理。综合分析全区现有零售经营网点分布特点和近年来全区烟花爆竹销售经营情况，在允许燃放区域，科学合理核发一定数量的烟花爆竹零售许可证，满足群众购买需求，避免因缺乏合法销售渠道，产生非法储存、运输、销售烟花爆竹行为，最大限度减少安全风险，并逐步形成适应全区经济社会发展、人民生活需求和安全生产要求相适应的烟花爆竹经营（零售）网络。</w:t>
      </w:r>
    </w:p>
    <w:p w14:paraId="3DD548BD">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35"/>
        <w:jc w:val="both"/>
        <w:textAlignment w:val="baseline"/>
        <w:rPr>
          <w:rFonts w:hint="eastAsia" w:ascii="黑体" w:hAnsi="黑体" w:eastAsia="黑体" w:cs="黑体"/>
          <w:i w:val="0"/>
          <w:iCs w:val="0"/>
          <w:color w:val="000000"/>
          <w:spacing w:val="0"/>
          <w:sz w:val="32"/>
          <w:szCs w:val="32"/>
          <w:shd w:val="clear" w:fill="FFFFFF"/>
          <w:vertAlign w:val="baseline"/>
          <w:lang w:val="en-US" w:eastAsia="zh-CN"/>
        </w:rPr>
      </w:pPr>
      <w:r>
        <w:rPr>
          <w:rFonts w:hint="eastAsia" w:ascii="黑体" w:hAnsi="黑体" w:eastAsia="黑体" w:cs="黑体"/>
          <w:i w:val="0"/>
          <w:iCs w:val="0"/>
          <w:color w:val="000000"/>
          <w:spacing w:val="0"/>
          <w:sz w:val="32"/>
          <w:szCs w:val="32"/>
          <w:shd w:val="clear" w:fill="FFFFFF"/>
          <w:vertAlign w:val="baseline"/>
          <w:lang w:val="en-US" w:eastAsia="zh-CN"/>
        </w:rPr>
        <w:t>规划依据</w:t>
      </w:r>
    </w:p>
    <w:p w14:paraId="653C1AA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1、《中华人民共和国安全生产法》　　</w:t>
      </w:r>
    </w:p>
    <w:p w14:paraId="17DD54F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2、《烟花爆竹安全管理条例》（国务院令第455号）　　</w:t>
      </w:r>
    </w:p>
    <w:p w14:paraId="267A325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3、《烟花爆竹经营许可实施办法》（国家安监总局令第65号）　　</w:t>
      </w:r>
    </w:p>
    <w:p w14:paraId="403DDD1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4、《烟花爆竹生产经营安全规定》（国家安监总局令第93号）　　</w:t>
      </w:r>
    </w:p>
    <w:p w14:paraId="4FC532AC">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5、（关于进一步落实《烟花爆竹经营许可实施办法》的实施意见》（黑安监发〔2015〕42号）　　</w:t>
      </w:r>
    </w:p>
    <w:p w14:paraId="13D67696">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6、《关于全省重点时段烟花爆竹安全生产明查暗访工作情况的通报》（黑安办发〔2026〕19号）　　</w:t>
      </w:r>
    </w:p>
    <w:p w14:paraId="43DB6A3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7、《关于切实加强全市烟花爆竹销售旺季安全生产工作的通知》（佳应急发〔2025〕30号）　　</w:t>
      </w:r>
    </w:p>
    <w:p w14:paraId="57CECD08">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8、《烟花爆竹零售店（点）安全技术规范》（AQ4128—2019）　　</w:t>
      </w:r>
    </w:p>
    <w:p w14:paraId="38E52F2A">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9、《重大火灾隐患判定规则》（GB35181-2025）　　</w:t>
      </w:r>
    </w:p>
    <w:p w14:paraId="2447916C">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rightChars="0" w:firstLine="643" w:firstLineChars="200"/>
        <w:jc w:val="both"/>
        <w:textAlignment w:val="baseline"/>
        <w:rPr>
          <w:rFonts w:hint="eastAsia" w:ascii="Times New Roman" w:hAnsi="Times New Roman" w:eastAsia="仿宋_GB2312" w:cs="Times New Roman"/>
          <w:b/>
          <w:bCs/>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10、《烟花爆竹作业安全技术规程》（GB11652-2012）</w:t>
      </w:r>
    </w:p>
    <w:p w14:paraId="56C039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35"/>
        <w:jc w:val="both"/>
        <w:textAlignment w:val="baseline"/>
        <w:rPr>
          <w:rFonts w:hint="eastAsia" w:ascii="黑体" w:hAnsi="黑体" w:eastAsia="黑体" w:cs="黑体"/>
        </w:rPr>
      </w:pPr>
      <w:r>
        <w:rPr>
          <w:rFonts w:hint="eastAsia" w:ascii="黑体" w:hAnsi="黑体" w:eastAsia="黑体" w:cs="黑体"/>
          <w:i w:val="0"/>
          <w:iCs w:val="0"/>
          <w:color w:val="000000"/>
          <w:spacing w:val="0"/>
          <w:sz w:val="32"/>
          <w:szCs w:val="32"/>
          <w:shd w:val="clear" w:fill="FFFFFF"/>
          <w:vertAlign w:val="baseline"/>
          <w:lang w:val="en-US" w:eastAsia="zh-CN"/>
        </w:rPr>
        <w:t>三</w:t>
      </w:r>
      <w:r>
        <w:rPr>
          <w:rFonts w:hint="eastAsia" w:ascii="黑体" w:hAnsi="黑体" w:eastAsia="黑体" w:cs="黑体"/>
          <w:i w:val="0"/>
          <w:iCs w:val="0"/>
          <w:color w:val="000000"/>
          <w:spacing w:val="0"/>
          <w:sz w:val="32"/>
          <w:szCs w:val="32"/>
          <w:shd w:val="clear" w:fill="FFFFFF"/>
          <w:vertAlign w:val="baseline"/>
        </w:rPr>
        <w:t>、目标任务</w:t>
      </w:r>
    </w:p>
    <w:p w14:paraId="2F01AA8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综合分析全区现有零售经营网点分布特点和近年来全区烟花爆竹销售经营情况，结合</w:t>
      </w:r>
      <w:bookmarkStart w:id="0" w:name="_GoBack"/>
      <w:bookmarkEnd w:id="0"/>
      <w:r>
        <w:rPr>
          <w:rFonts w:hint="eastAsia" w:ascii="仿宋_GB2312" w:hAnsi="仿宋_GB2312" w:eastAsia="仿宋_GB2312" w:cs="仿宋_GB2312"/>
          <w:b w:val="0"/>
          <w:bCs w:val="0"/>
          <w:sz w:val="32"/>
          <w:szCs w:val="32"/>
          <w:lang w:val="en-US" w:eastAsia="zh-CN"/>
        </w:rPr>
        <w:t>实际情况，科学合理核发一定数量的烟花爆竹零售许可证，满足群众购买需求，避免因缺乏合法销售渠道，产生非法储存、运输、销售烟花爆竹行为，最大限度减少安全风险。实现烟花爆竹零售店合理布局、专店经营，构建全区烟花爆竹安全、便民的销售网络，建立公平、公正、规范、有序的市场流通秩序，提升烟花爆竹零售店设置的规范性、合理性、安全性。</w:t>
      </w:r>
    </w:p>
    <w:p w14:paraId="71BEFB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35"/>
        <w:jc w:val="both"/>
        <w:textAlignment w:val="baseline"/>
        <w:rPr>
          <w:rFonts w:hint="eastAsia" w:ascii="黑体" w:hAnsi="黑体" w:eastAsia="黑体" w:cs="黑体"/>
        </w:rPr>
      </w:pPr>
      <w:r>
        <w:rPr>
          <w:rFonts w:hint="eastAsia" w:ascii="黑体" w:hAnsi="黑体" w:eastAsia="黑体" w:cs="黑体"/>
          <w:i w:val="0"/>
          <w:iCs w:val="0"/>
          <w:color w:val="000000"/>
          <w:spacing w:val="0"/>
          <w:sz w:val="32"/>
          <w:szCs w:val="32"/>
          <w:shd w:val="clear" w:fill="FFFFFF"/>
          <w:vertAlign w:val="baseline"/>
          <w:lang w:val="en-US" w:eastAsia="zh-CN"/>
        </w:rPr>
        <w:t>四</w:t>
      </w:r>
      <w:r>
        <w:rPr>
          <w:rFonts w:hint="eastAsia" w:ascii="黑体" w:hAnsi="黑体" w:eastAsia="黑体" w:cs="黑体"/>
          <w:i w:val="0"/>
          <w:iCs w:val="0"/>
          <w:color w:val="000000"/>
          <w:spacing w:val="0"/>
          <w:sz w:val="32"/>
          <w:szCs w:val="32"/>
          <w:shd w:val="clear" w:fill="FFFFFF"/>
          <w:vertAlign w:val="baseline"/>
        </w:rPr>
        <w:t>、布点规划原则</w:t>
      </w:r>
    </w:p>
    <w:p w14:paraId="5FA5004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烟花爆竹零售店布点规划按照“统筹规划、保障安全、合理布局、总量控制、适度竞争、方便群众”的原则，结合我区历年烟花爆竹零售店分布情况，综合考虑各街道人口密集程度、地域面积、市场需求、便民利民、便于安全管理等因素。</w:t>
      </w:r>
    </w:p>
    <w:p w14:paraId="7C5809F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规划决定在现有总数基础上，按照“只减不增”的总原则合理压减零售店数量。每名主要负责人和安全管理人员只允许经营一家烟花爆竹商店。</w:t>
      </w:r>
    </w:p>
    <w:p w14:paraId="180FC0F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自此规范方案实施之日起不再受理并颁发新的经营许可证，2028年按照国家、省、市文件和相关法律法规要求，重新制定规划方案。</w:t>
      </w:r>
    </w:p>
    <w:p w14:paraId="388233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firstLine="640" w:firstLineChars="200"/>
        <w:jc w:val="both"/>
        <w:textAlignment w:val="baseline"/>
        <w:rPr>
          <w:rFonts w:hint="eastAsia" w:ascii="黑体" w:hAnsi="黑体" w:eastAsia="黑体" w:cs="黑体"/>
        </w:rPr>
      </w:pPr>
      <w:r>
        <w:rPr>
          <w:rFonts w:hint="eastAsia" w:ascii="黑体" w:hAnsi="黑体" w:eastAsia="黑体" w:cs="黑体"/>
          <w:i w:val="0"/>
          <w:iCs w:val="0"/>
          <w:color w:val="000000"/>
          <w:spacing w:val="0"/>
          <w:sz w:val="32"/>
          <w:szCs w:val="32"/>
          <w:shd w:val="clear" w:fill="FFFFFF"/>
          <w:vertAlign w:val="baseline"/>
          <w:lang w:val="en-US" w:eastAsia="zh-CN"/>
        </w:rPr>
        <w:t>五</w:t>
      </w:r>
      <w:r>
        <w:rPr>
          <w:rFonts w:hint="eastAsia" w:ascii="黑体" w:hAnsi="黑体" w:eastAsia="黑体" w:cs="黑体"/>
          <w:i w:val="0"/>
          <w:iCs w:val="0"/>
          <w:color w:val="000000"/>
          <w:spacing w:val="0"/>
          <w:sz w:val="32"/>
          <w:szCs w:val="32"/>
          <w:shd w:val="clear" w:fill="FFFFFF"/>
          <w:vertAlign w:val="baseline"/>
        </w:rPr>
        <w:t>、布点规划实施</w:t>
      </w:r>
    </w:p>
    <w:p w14:paraId="21896EC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《前进区烟花爆竹经营（零售）布点规划方案》（2026-2027年），在规划期内由区应急管理局根据市大气污染防治、烟花爆竹产生的安全隐患程度及市场需求的布点数等情况适时调整布点数量。</w:t>
      </w:r>
    </w:p>
    <w:p w14:paraId="764D55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35"/>
        <w:jc w:val="both"/>
        <w:textAlignment w:val="baseline"/>
        <w:rPr>
          <w:rFonts w:hint="eastAsia" w:ascii="黑体" w:hAnsi="黑体" w:eastAsia="黑体" w:cs="黑体"/>
        </w:rPr>
      </w:pPr>
      <w:r>
        <w:rPr>
          <w:rFonts w:hint="eastAsia" w:ascii="黑体" w:hAnsi="黑体" w:eastAsia="黑体" w:cs="黑体"/>
          <w:i w:val="0"/>
          <w:iCs w:val="0"/>
          <w:color w:val="000000"/>
          <w:spacing w:val="0"/>
          <w:sz w:val="32"/>
          <w:szCs w:val="32"/>
          <w:shd w:val="clear" w:fill="FFFFFF"/>
          <w:vertAlign w:val="baseline"/>
          <w:lang w:val="en-US" w:eastAsia="zh-CN"/>
        </w:rPr>
        <w:t>六</w:t>
      </w:r>
      <w:r>
        <w:rPr>
          <w:rFonts w:hint="eastAsia" w:ascii="黑体" w:hAnsi="黑体" w:eastAsia="黑体" w:cs="黑体"/>
          <w:i w:val="0"/>
          <w:iCs w:val="0"/>
          <w:color w:val="000000"/>
          <w:spacing w:val="0"/>
          <w:sz w:val="32"/>
          <w:szCs w:val="32"/>
          <w:shd w:val="clear" w:fill="FFFFFF"/>
          <w:vertAlign w:val="baseline"/>
        </w:rPr>
        <w:t>、</w:t>
      </w:r>
      <w:r>
        <w:rPr>
          <w:rFonts w:hint="eastAsia" w:ascii="黑体" w:hAnsi="黑体" w:eastAsia="黑体" w:cs="黑体"/>
          <w:i w:val="0"/>
          <w:iCs w:val="0"/>
          <w:color w:val="000000"/>
          <w:spacing w:val="0"/>
          <w:sz w:val="32"/>
          <w:szCs w:val="32"/>
          <w:shd w:val="clear" w:fill="FFFFFF"/>
          <w:vertAlign w:val="baseline"/>
          <w:lang w:val="en-US" w:eastAsia="zh-CN"/>
        </w:rPr>
        <w:t>烟花爆竹商店</w:t>
      </w:r>
      <w:r>
        <w:rPr>
          <w:rFonts w:hint="eastAsia" w:ascii="黑体" w:hAnsi="黑体" w:eastAsia="黑体" w:cs="黑体"/>
          <w:i w:val="0"/>
          <w:iCs w:val="0"/>
          <w:color w:val="000000"/>
          <w:spacing w:val="0"/>
          <w:sz w:val="32"/>
          <w:szCs w:val="32"/>
          <w:shd w:val="clear" w:fill="FFFFFF"/>
          <w:vertAlign w:val="baseline"/>
        </w:rPr>
        <w:t>要求</w:t>
      </w:r>
    </w:p>
    <w:p w14:paraId="769874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643" w:firstLineChars="200"/>
        <w:jc w:val="both"/>
        <w:textAlignment w:val="baseline"/>
        <w:rPr>
          <w:rFonts w:hint="eastAsia" w:ascii="仿宋" w:hAnsi="仿宋" w:eastAsia="仿宋" w:cs="仿宋"/>
          <w:sz w:val="19"/>
          <w:szCs w:val="19"/>
        </w:rPr>
      </w:pPr>
      <w:r>
        <w:rPr>
          <w:rFonts w:hint="eastAsia" w:ascii="Times New Roman" w:hAnsi="Times New Roman" w:eastAsia="楷体_GB2312" w:cs="Times New Roman"/>
          <w:b/>
          <w:bCs/>
          <w:kern w:val="2"/>
          <w:sz w:val="32"/>
          <w:szCs w:val="32"/>
          <w:lang w:val="en-US" w:eastAsia="zh-CN" w:bidi="ar-SA"/>
        </w:rPr>
        <w:t>(一)合法经营、手续齐全。</w:t>
      </w:r>
      <w:r>
        <w:rPr>
          <w:rFonts w:hint="eastAsia" w:ascii="仿宋_GB2312" w:hAnsi="仿宋_GB2312" w:eastAsia="仿宋_GB2312" w:cs="仿宋_GB2312"/>
          <w:b w:val="0"/>
          <w:bCs w:val="0"/>
          <w:kern w:val="2"/>
          <w:sz w:val="32"/>
          <w:szCs w:val="32"/>
          <w:lang w:val="en-US" w:eastAsia="zh-CN" w:bidi="ar-SA"/>
        </w:rPr>
        <w:t>零售许可证有效期满后拟继续从事烟花爆竹零售经营活动，或者在有效期内变更零售点名称、主要负责人、零售场所和许可范围的，应当向区应急管理局重新申请取得“烟花爆竹经营(零售)许可证”。</w:t>
      </w:r>
    </w:p>
    <w:p w14:paraId="67696B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643" w:firstLineChars="200"/>
        <w:jc w:val="both"/>
        <w:textAlignment w:val="baseline"/>
        <w:rPr>
          <w:rFonts w:hint="eastAsia" w:ascii="仿宋" w:hAnsi="仿宋" w:eastAsia="仿宋" w:cs="仿宋"/>
          <w:sz w:val="19"/>
          <w:szCs w:val="19"/>
        </w:rPr>
      </w:pPr>
      <w:r>
        <w:rPr>
          <w:rFonts w:hint="eastAsia" w:ascii="Times New Roman" w:hAnsi="Times New Roman" w:eastAsia="楷体_GB2312" w:cs="Times New Roman"/>
          <w:b/>
          <w:bCs/>
          <w:kern w:val="2"/>
          <w:sz w:val="32"/>
          <w:szCs w:val="32"/>
          <w:lang w:val="en-US" w:eastAsia="zh-CN" w:bidi="ar-SA"/>
        </w:rPr>
        <w:t>(二)亮证经营、依法公开。</w:t>
      </w:r>
      <w:r>
        <w:rPr>
          <w:rFonts w:hint="eastAsia" w:ascii="仿宋_GB2312" w:hAnsi="仿宋_GB2312" w:eastAsia="仿宋_GB2312" w:cs="仿宋_GB2312"/>
          <w:b w:val="0"/>
          <w:bCs w:val="0"/>
          <w:kern w:val="2"/>
          <w:sz w:val="32"/>
          <w:szCs w:val="32"/>
          <w:lang w:val="en-US" w:eastAsia="zh-CN" w:bidi="ar-SA"/>
        </w:rPr>
        <w:t>区应急管理局下发的“烟花爆竹经营(零售)许可证”，各零售店（点）应主动亮证经营，主动向社会公示本站点存放烟花爆竹总数和货品火药当量数量。</w:t>
      </w:r>
    </w:p>
    <w:p w14:paraId="512FD9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643" w:firstLineChars="200"/>
        <w:jc w:val="both"/>
        <w:textAlignment w:val="baseline"/>
        <w:rPr>
          <w:rFonts w:hint="eastAsia" w:ascii="仿宋" w:hAnsi="仿宋" w:eastAsia="仿宋" w:cs="仿宋"/>
          <w:sz w:val="19"/>
          <w:szCs w:val="19"/>
        </w:rPr>
      </w:pPr>
      <w:r>
        <w:rPr>
          <w:rFonts w:hint="eastAsia" w:ascii="Times New Roman" w:hAnsi="Times New Roman" w:eastAsia="楷体_GB2312" w:cs="Times New Roman"/>
          <w:b/>
          <w:bCs/>
          <w:kern w:val="2"/>
          <w:sz w:val="32"/>
          <w:szCs w:val="32"/>
          <w:lang w:val="en-US" w:eastAsia="zh-CN" w:bidi="ar-SA"/>
        </w:rPr>
        <w:t>(三)严格标准、严肃惩戒。</w:t>
      </w:r>
      <w:r>
        <w:rPr>
          <w:rFonts w:hint="eastAsia" w:ascii="仿宋_GB2312" w:hAnsi="仿宋_GB2312" w:eastAsia="仿宋_GB2312" w:cs="仿宋_GB2312"/>
          <w:b w:val="0"/>
          <w:bCs w:val="0"/>
          <w:kern w:val="2"/>
          <w:sz w:val="32"/>
          <w:szCs w:val="32"/>
          <w:lang w:val="en-US" w:eastAsia="zh-CN" w:bidi="ar-SA"/>
        </w:rPr>
        <w:t>零售经营者不得出租、出借、转让、买卖、冒用或者使用伪造的烟花爆竹经营许可证;不准走街串巷销售、离店经营、沿街摆卖。各零售店（点）必须做到专人管理、专人销售，不得擅自降低安全条件。各零售店（点）经营者不得采购、储存和销售礼花弹等应当由专业燃放人员燃放的烟花爆竹;不得采购和销售非法生产、经营的烟花爆竹和产品质量不符合国家标准或者行业标准规定的烟花爆竹；禁止在烟花爆竹经营许可证载明的零售场所以外储存烟花爆竹，零售点存放的烟花爆竹品种和数量不得超过烟花爆竹经营许可证载明的范围和限量。对违法违规经营行为，将依法从严查处。</w:t>
      </w:r>
    </w:p>
    <w:p w14:paraId="312CAB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firstLine="643" w:firstLineChars="200"/>
        <w:jc w:val="both"/>
        <w:textAlignment w:val="baseline"/>
        <w:rPr>
          <w:rFonts w:hint="eastAsia" w:ascii="仿宋_GB2312" w:hAnsi="仿宋_GB2312" w:eastAsia="仿宋_GB2312" w:cs="仿宋_GB2312"/>
          <w:b w:val="0"/>
          <w:bCs w:val="0"/>
          <w:kern w:val="2"/>
          <w:sz w:val="32"/>
          <w:szCs w:val="32"/>
          <w:lang w:val="en-US" w:eastAsia="zh-CN" w:bidi="ar-SA"/>
        </w:rPr>
      </w:pPr>
      <w:r>
        <w:rPr>
          <w:rFonts w:hint="eastAsia" w:ascii="Times New Roman" w:hAnsi="Times New Roman" w:eastAsia="楷体_GB2312" w:cs="Times New Roman"/>
          <w:b/>
          <w:bCs/>
          <w:kern w:val="2"/>
          <w:sz w:val="32"/>
          <w:szCs w:val="32"/>
          <w:lang w:val="en-US" w:eastAsia="zh-CN" w:bidi="ar-SA"/>
        </w:rPr>
        <w:t>(四)统购分销，统一配送。</w:t>
      </w:r>
      <w:r>
        <w:rPr>
          <w:rFonts w:hint="eastAsia" w:ascii="仿宋_GB2312" w:hAnsi="仿宋_GB2312" w:eastAsia="仿宋_GB2312" w:cs="仿宋_GB2312"/>
          <w:b w:val="0"/>
          <w:bCs w:val="0"/>
          <w:kern w:val="2"/>
          <w:sz w:val="32"/>
          <w:szCs w:val="32"/>
          <w:lang w:val="en-US" w:eastAsia="zh-CN" w:bidi="ar-SA"/>
        </w:rPr>
        <w:t xml:space="preserve">全区烟花爆竹必须由批发经营企业统一配送到零售经营网点，各网点不得自行运输，坚决杜绝使用客运车辆和无运输资质的车辆运输烟花爆竹。  </w:t>
      </w:r>
    </w:p>
    <w:p w14:paraId="1CB6568D">
      <w:pPr>
        <w:keepNext w:val="0"/>
        <w:keepLines w:val="0"/>
        <w:widowControl/>
        <w:suppressLineNumbers w:val="0"/>
        <w:ind w:firstLine="643"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Times New Roman" w:hAnsi="Times New Roman" w:eastAsia="楷体_GB2312" w:cs="Times New Roman"/>
          <w:b/>
          <w:bCs/>
          <w:kern w:val="2"/>
          <w:sz w:val="32"/>
          <w:szCs w:val="32"/>
          <w:lang w:val="en-US" w:eastAsia="zh-CN" w:bidi="ar-SA"/>
        </w:rPr>
        <w:t>(五)规范零售，严控安全。</w:t>
      </w:r>
      <w:r>
        <w:rPr>
          <w:rFonts w:hint="eastAsia" w:ascii="仿宋_GB2312" w:hAnsi="仿宋_GB2312" w:eastAsia="仿宋_GB2312" w:cs="仿宋_GB2312"/>
          <w:b w:val="0"/>
          <w:bCs w:val="0"/>
          <w:kern w:val="2"/>
          <w:sz w:val="32"/>
          <w:szCs w:val="32"/>
          <w:lang w:val="en-US" w:eastAsia="zh-CN" w:bidi="ar-SA"/>
        </w:rPr>
        <w:t>按照相关文件要求，零售场所除必须符合《烟花爆竹零售店（点）安全技术规范》（AQ4128-2019）要求外，不应与民用建筑设置在同一建筑内，不得设置于人员密集场所内；严禁“下店上宅”“前店后宅”、集中连片经营；烟花爆竹产品存放区和销售柜台应分区布置，不允许采用顾客店内外自选方式销售烟花爆竹。零售店（点）应设置专人负责安全管理、看护和销售。在店内明显位置张贴“五个严禁”“严禁烟火”“易燃易爆”等警示标语，严禁店内吸烟或使用明火；严禁在零售店（点）周边100米内燃放试放、严禁在禁放区及人员密集场</w:t>
      </w:r>
    </w:p>
    <w:p w14:paraId="51904D81">
      <w:pPr>
        <w:tabs>
          <w:tab w:val="left" w:pos="239"/>
        </w:tabs>
        <w:bidi w:val="0"/>
        <w:jc w:val="left"/>
      </w:pPr>
      <w:r>
        <w:rPr>
          <w:rFonts w:hint="eastAsia" w:ascii="仿宋_GB2312" w:hAnsi="仿宋_GB2312" w:eastAsia="仿宋_GB2312" w:cs="仿宋_GB2312"/>
          <w:b w:val="0"/>
          <w:bCs w:val="0"/>
          <w:kern w:val="2"/>
          <w:sz w:val="32"/>
          <w:szCs w:val="32"/>
          <w:lang w:val="en-US" w:eastAsia="zh-CN" w:bidi="ar-SA"/>
        </w:rPr>
        <w:t>所燃放烟花爆竹。零售许可期限届满后，尚未销售的产品及时返库，不得自行存放。</w:t>
      </w:r>
    </w:p>
    <w:p w14:paraId="58DE4F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firstLine="643" w:firstLineChars="200"/>
        <w:jc w:val="both"/>
        <w:textAlignment w:val="baseline"/>
        <w:rPr>
          <w:rFonts w:hint="eastAsia" w:ascii="Times New Roman" w:hAnsi="Times New Roman" w:eastAsia="楷体_GB2312" w:cs="Times New Roman"/>
          <w:b/>
          <w:bCs/>
          <w:kern w:val="2"/>
          <w:sz w:val="32"/>
          <w:szCs w:val="32"/>
          <w:lang w:val="en-US" w:eastAsia="zh-CN" w:bidi="ar-SA"/>
        </w:rPr>
      </w:pPr>
    </w:p>
    <w:p w14:paraId="1AF23E1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本方案自印发之日起施行，施行期间，如遇法律、法规、标准更新或上级有新的工作要求，按新规定执行。佳木斯市前进区应急管理局负责有关政策解释。</w:t>
      </w:r>
    </w:p>
    <w:p w14:paraId="39DD212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 w:hAnsi="仿宋" w:eastAsia="仿宋" w:cs="仿宋"/>
          <w:i w:val="0"/>
          <w:iCs w:val="0"/>
          <w:color w:val="000000"/>
          <w:spacing w:val="0"/>
          <w:sz w:val="32"/>
          <w:szCs w:val="32"/>
          <w:shd w:val="clear" w:fill="FFFFFF"/>
          <w:vertAlign w:val="baseline"/>
        </w:rPr>
      </w:pPr>
    </w:p>
    <w:p w14:paraId="30A2F80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仿宋" w:hAnsi="仿宋" w:eastAsia="仿宋" w:cs="仿宋"/>
          <w:sz w:val="32"/>
          <w:szCs w:val="32"/>
          <w:lang w:val="en-US" w:eastAsia="zh-CN"/>
        </w:rPr>
      </w:pPr>
    </w:p>
    <w:p w14:paraId="0D6AF4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left="0" w:right="0" w:firstLine="635"/>
        <w:jc w:val="both"/>
        <w:textAlignment w:val="baseline"/>
        <w:rPr>
          <w:rFonts w:hint="eastAsia" w:ascii="仿宋" w:hAnsi="仿宋" w:eastAsia="仿宋" w:cs="仿宋"/>
          <w:i w:val="0"/>
          <w:iCs w:val="0"/>
          <w:color w:val="000000"/>
          <w:spacing w:val="0"/>
          <w:sz w:val="32"/>
          <w:szCs w:val="32"/>
          <w:shd w:val="clear" w:fill="FFFFFF"/>
          <w:vertAlign w:val="baseline"/>
        </w:rPr>
      </w:pPr>
    </w:p>
    <w:p w14:paraId="4E76A2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jc w:val="both"/>
        <w:textAlignment w:val="baseline"/>
        <w:rPr>
          <w:rFonts w:hint="eastAsia" w:ascii="仿宋" w:hAnsi="仿宋" w:eastAsia="仿宋" w:cs="仿宋"/>
          <w:i w:val="0"/>
          <w:iCs w:val="0"/>
          <w:color w:val="auto"/>
          <w:spacing w:val="0"/>
          <w:sz w:val="32"/>
          <w:szCs w:val="32"/>
          <w:shd w:val="clear" w:fill="FFFFFF"/>
          <w:vertAlign w:val="baseline"/>
          <w:lang w:eastAsia="zh-CN"/>
        </w:rPr>
      </w:pPr>
    </w:p>
    <w:p w14:paraId="4B079F44">
      <w:pPr>
        <w:spacing w:line="560" w:lineRule="exact"/>
        <w:rPr>
          <w:rFonts w:hint="eastAsia" w:ascii="黑体" w:hAnsi="黑体" w:eastAsia="黑体" w:cs="黑体"/>
          <w:sz w:val="32"/>
          <w:szCs w:val="32"/>
        </w:rPr>
      </w:pPr>
    </w:p>
    <w:p w14:paraId="1452897D">
      <w:pPr>
        <w:spacing w:line="560" w:lineRule="exact"/>
        <w:rPr>
          <w:rFonts w:hint="eastAsia" w:ascii="黑体" w:hAnsi="黑体" w:eastAsia="黑体" w:cs="黑体"/>
          <w:sz w:val="32"/>
          <w:szCs w:val="32"/>
        </w:rPr>
      </w:pPr>
    </w:p>
    <w:p w14:paraId="630C2B11">
      <w:pPr>
        <w:spacing w:line="560" w:lineRule="exact"/>
        <w:rPr>
          <w:rFonts w:hint="eastAsia" w:ascii="黑体" w:hAnsi="黑体" w:eastAsia="黑体" w:cs="黑体"/>
          <w:sz w:val="32"/>
          <w:szCs w:val="32"/>
        </w:rPr>
      </w:pPr>
    </w:p>
    <w:p w14:paraId="3A7B6109">
      <w:pPr>
        <w:spacing w:line="560" w:lineRule="exact"/>
        <w:rPr>
          <w:rFonts w:hint="eastAsia" w:ascii="黑体" w:hAnsi="黑体" w:eastAsia="黑体" w:cs="黑体"/>
          <w:sz w:val="32"/>
          <w:szCs w:val="32"/>
        </w:rPr>
      </w:pPr>
    </w:p>
    <w:p w14:paraId="1F68B360">
      <w:pPr>
        <w:spacing w:line="560" w:lineRule="exact"/>
        <w:rPr>
          <w:rFonts w:hint="eastAsia" w:ascii="黑体" w:hAnsi="黑体" w:eastAsia="黑体" w:cs="黑体"/>
          <w:sz w:val="32"/>
          <w:szCs w:val="32"/>
        </w:rPr>
      </w:pPr>
    </w:p>
    <w:p w14:paraId="329CE825">
      <w:pPr>
        <w:spacing w:line="560" w:lineRule="exact"/>
        <w:rPr>
          <w:rFonts w:hint="eastAsia" w:ascii="黑体" w:hAnsi="黑体" w:eastAsia="黑体" w:cs="黑体"/>
          <w:sz w:val="32"/>
          <w:szCs w:val="32"/>
        </w:rPr>
      </w:pPr>
    </w:p>
    <w:p w14:paraId="7D70A08D">
      <w:pPr>
        <w:spacing w:line="560" w:lineRule="exact"/>
        <w:rPr>
          <w:rFonts w:hint="eastAsia" w:ascii="黑体" w:hAnsi="黑体" w:eastAsia="黑体" w:cs="黑体"/>
          <w:sz w:val="32"/>
          <w:szCs w:val="32"/>
        </w:rPr>
      </w:pPr>
    </w:p>
    <w:p w14:paraId="48C8702C">
      <w:pPr>
        <w:spacing w:line="560" w:lineRule="exact"/>
        <w:rPr>
          <w:rFonts w:hint="eastAsia" w:ascii="黑体" w:hAnsi="黑体" w:eastAsia="黑体" w:cs="黑体"/>
          <w:sz w:val="32"/>
          <w:szCs w:val="32"/>
        </w:rPr>
      </w:pPr>
    </w:p>
    <w:p w14:paraId="13C6D3A7">
      <w:pPr>
        <w:spacing w:line="560" w:lineRule="exact"/>
        <w:rPr>
          <w:rFonts w:hint="eastAsia" w:ascii="黑体" w:hAnsi="黑体" w:eastAsia="黑体" w:cs="黑体"/>
          <w:sz w:val="32"/>
          <w:szCs w:val="32"/>
        </w:rPr>
      </w:pPr>
    </w:p>
    <w:p w14:paraId="1F858997">
      <w:pPr>
        <w:spacing w:line="560" w:lineRule="exact"/>
        <w:rPr>
          <w:rFonts w:hint="eastAsia" w:ascii="黑体" w:hAnsi="黑体" w:eastAsia="黑体" w:cs="黑体"/>
          <w:sz w:val="32"/>
          <w:szCs w:val="32"/>
        </w:rPr>
      </w:pPr>
    </w:p>
    <w:p w14:paraId="0ABF9C97">
      <w:pPr>
        <w:spacing w:line="560" w:lineRule="exact"/>
        <w:rPr>
          <w:rFonts w:hint="eastAsia" w:ascii="黑体" w:hAnsi="黑体" w:eastAsia="黑体" w:cs="黑体"/>
          <w:sz w:val="32"/>
          <w:szCs w:val="32"/>
        </w:rPr>
      </w:pPr>
    </w:p>
    <w:p w14:paraId="7F97883B">
      <w:pPr>
        <w:spacing w:line="560" w:lineRule="exact"/>
        <w:rPr>
          <w:rFonts w:hint="eastAsia" w:ascii="黑体" w:hAnsi="黑体" w:eastAsia="黑体" w:cs="黑体"/>
          <w:sz w:val="32"/>
          <w:szCs w:val="32"/>
        </w:rPr>
      </w:pPr>
    </w:p>
    <w:p w14:paraId="452B3383">
      <w:pPr>
        <w:spacing w:line="560" w:lineRule="exact"/>
        <w:rPr>
          <w:rFonts w:hint="eastAsia" w:ascii="黑体" w:hAnsi="黑体" w:eastAsia="黑体" w:cs="黑体"/>
          <w:sz w:val="32"/>
          <w:szCs w:val="32"/>
        </w:rPr>
      </w:pPr>
    </w:p>
    <w:p w14:paraId="1A546CFD">
      <w:pPr>
        <w:tabs>
          <w:tab w:val="left" w:pos="5279"/>
        </w:tabs>
        <w:spacing w:line="560" w:lineRule="exact"/>
        <w:ind w:firstLine="5120" w:firstLineChars="1600"/>
        <w:rPr>
          <w:rFonts w:hint="default" w:ascii="黑体" w:hAnsi="黑体" w:eastAsia="黑体" w:cs="黑体"/>
          <w:sz w:val="32"/>
          <w:szCs w:val="32"/>
          <w:lang w:val="en-US" w:eastAsia="zh-CN"/>
        </w:rPr>
      </w:pP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 xml:space="preserve">                           </w:t>
      </w:r>
    </w:p>
    <w:p w14:paraId="4B295A03">
      <w:pPr>
        <w:spacing w:line="560" w:lineRule="exact"/>
        <w:rPr>
          <w:rFonts w:hint="eastAsia" w:ascii="黑体" w:hAnsi="黑体" w:eastAsia="黑体" w:cs="黑体"/>
          <w:sz w:val="32"/>
          <w:szCs w:val="32"/>
        </w:rPr>
      </w:pPr>
    </w:p>
    <w:p w14:paraId="6FBF6D5C">
      <w:pPr>
        <w:spacing w:line="560" w:lineRule="exact"/>
        <w:rPr>
          <w:rFonts w:hint="eastAsia" w:ascii="黑体" w:hAnsi="黑体" w:eastAsia="黑体" w:cs="黑体"/>
          <w:sz w:val="32"/>
          <w:szCs w:val="32"/>
        </w:rPr>
      </w:pPr>
    </w:p>
    <w:p w14:paraId="04E2E9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20" w:lineRule="exact"/>
        <w:ind w:right="0"/>
        <w:jc w:val="both"/>
        <w:textAlignment w:val="baseline"/>
        <w:rPr>
          <w:rFonts w:hint="default" w:ascii="仿宋" w:hAnsi="仿宋" w:eastAsia="仿宋" w:cs="仿宋"/>
          <w:i w:val="0"/>
          <w:iCs w:val="0"/>
          <w:color w:val="auto"/>
          <w:spacing w:val="0"/>
          <w:sz w:val="32"/>
          <w:szCs w:val="32"/>
          <w:shd w:val="clear" w:fill="FFFFFF"/>
          <w:vertAlign w:val="baseline"/>
          <w:lang w:val="en-US" w:eastAsia="zh-CN"/>
        </w:rPr>
      </w:pPr>
    </w:p>
    <w:sectPr>
      <w:footerReference r:id="rId3" w:type="default"/>
      <w:pgSz w:w="11906" w:h="16838"/>
      <w:pgMar w:top="1701" w:right="1417" w:bottom="170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E80797-7BF8-452C-8273-62A9F71F6B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2" w:fontKey="{645E45BB-950B-4776-89BB-CEDF17AAED4B}"/>
  </w:font>
  <w:font w:name="仿宋_GB2312">
    <w:altName w:val="仿宋"/>
    <w:panose1 w:val="02010609030101010101"/>
    <w:charset w:val="86"/>
    <w:family w:val="modern"/>
    <w:pitch w:val="default"/>
    <w:sig w:usb0="00000000" w:usb1="00000000" w:usb2="00000000" w:usb3="00000000" w:csb0="00040000" w:csb1="00000000"/>
    <w:embedRegular r:id="rId3" w:fontKey="{478B1A13-2ABA-4149-8923-6CDC591EF37A}"/>
  </w:font>
  <w:font w:name="楷体_GB2312">
    <w:altName w:val="楷体"/>
    <w:panose1 w:val="02010609030101010101"/>
    <w:charset w:val="86"/>
    <w:family w:val="auto"/>
    <w:pitch w:val="default"/>
    <w:sig w:usb0="00000000" w:usb1="00000000" w:usb2="00000000" w:usb3="00000000" w:csb0="00040000" w:csb1="00000000"/>
    <w:embedRegular r:id="rId4" w:fontKey="{6E8F85DC-32E8-4EC4-A1FB-956BBF3EC972}"/>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AED76">
    <w:pPr>
      <w:pStyle w:val="2"/>
      <w:tabs>
        <w:tab w:val="center" w:pos="4536"/>
        <w:tab w:val="clear" w:pos="4153"/>
      </w:tabs>
      <w:rPr>
        <w:rFonts w:hint="default"/>
        <w:lang w:val="en-US"/>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223CAD"/>
    <w:multiLevelType w:val="singleLevel"/>
    <w:tmpl w:val="C8223CA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lNjNmMWMyZDliYjE2N2Q1YjcyMTBlNDU2Mzc5MDYifQ=="/>
  </w:docVars>
  <w:rsids>
    <w:rsidRoot w:val="00000000"/>
    <w:rsid w:val="060E3519"/>
    <w:rsid w:val="084165BA"/>
    <w:rsid w:val="0C2B4563"/>
    <w:rsid w:val="0C673476"/>
    <w:rsid w:val="123E613B"/>
    <w:rsid w:val="1C442E6B"/>
    <w:rsid w:val="1C940F54"/>
    <w:rsid w:val="1DF939F7"/>
    <w:rsid w:val="201A1392"/>
    <w:rsid w:val="218674B1"/>
    <w:rsid w:val="2358620C"/>
    <w:rsid w:val="28352654"/>
    <w:rsid w:val="30F827B1"/>
    <w:rsid w:val="32E36058"/>
    <w:rsid w:val="365F7E49"/>
    <w:rsid w:val="3BBD1671"/>
    <w:rsid w:val="3E770C3B"/>
    <w:rsid w:val="40470655"/>
    <w:rsid w:val="44910DF9"/>
    <w:rsid w:val="498A2BD5"/>
    <w:rsid w:val="49D96075"/>
    <w:rsid w:val="50997F69"/>
    <w:rsid w:val="50EA54A6"/>
    <w:rsid w:val="52A665A4"/>
    <w:rsid w:val="59322EA9"/>
    <w:rsid w:val="5BC96B7A"/>
    <w:rsid w:val="5DC83E9C"/>
    <w:rsid w:val="5DD40510"/>
    <w:rsid w:val="5E15484B"/>
    <w:rsid w:val="5F3505F9"/>
    <w:rsid w:val="62554A2A"/>
    <w:rsid w:val="649228C0"/>
    <w:rsid w:val="652A277E"/>
    <w:rsid w:val="66C63B43"/>
    <w:rsid w:val="67F61CC1"/>
    <w:rsid w:val="6B3C52FC"/>
    <w:rsid w:val="6D1D3B34"/>
    <w:rsid w:val="6D8F2D6B"/>
    <w:rsid w:val="6FB16FC8"/>
    <w:rsid w:val="7140591E"/>
    <w:rsid w:val="771A7BBD"/>
    <w:rsid w:val="794E4D18"/>
    <w:rsid w:val="79A84102"/>
    <w:rsid w:val="7D9D0C2E"/>
    <w:rsid w:val="7DAF4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Strong"/>
    <w:basedOn w:val="6"/>
    <w:autoRedefine/>
    <w:qFormat/>
    <w:uiPriority w:val="0"/>
    <w:rPr>
      <w:b/>
    </w:rPr>
  </w:style>
  <w:style w:type="paragraph" w:customStyle="1" w:styleId="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2d2815f8-c0cd-4aae-be75-b923e3332ab6</errorID>
      <errorWord>(</errorWord>
      <group>L1_Format</group>
      <groupName>格式问题</groupName>
      <ability>L2_HalfPunc</ability>
      <abilityName>全半角检查</abilityName>
      <candidateList>
        <item>（</item>
      </candidateList>
      <explain>文本全半角错误。</explain>
      <paraID>1A549F0B</paraID>
      <start>9</start>
      <end>10</end>
      <status>unmodified</status>
      <modifiedWord/>
      <trackRevisions>false</trackRevisions>
    </reviewItem>
    <reviewItem>
      <errorID>02a89ba5-2cb7-4dfe-979f-3c1525ad47ba</errorID>
      <errorWord>)</errorWord>
      <group>L1_Format</group>
      <groupName>格式问题</groupName>
      <ability>L2_HalfPunc</ability>
      <abilityName>全半角检查</abilityName>
      <candidateList>
        <item>）</item>
      </candidateList>
      <explain>文本全半角错误。</explain>
      <paraID>1A549F0B</paraID>
      <start>12</start>
      <end>13</end>
      <status>unmodified</status>
      <modifiedWord/>
      <trackRevisions>false</trackRevisions>
    </reviewItem>
    <reviewItem>
      <errorID>9c5b7364-3687-4982-95e3-feb565134ad4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6FFE5B3E</paraID>
      <start>6</start>
      <end>7</end>
      <status>unmodified</status>
      <modifiedWord/>
      <trackRevisions>false</trackRevisions>
    </reviewItem>
    <reviewItem>
      <errorID>fdbb9f20-2057-4b56-b412-54beac351090</errorID>
      <errorWord>)</errorWord>
      <group>L1_Format</group>
      <groupName>格式问题</groupName>
      <ability>L2_HalfPunc</ability>
      <abilityName>全半角检查</abilityName>
      <candidateList>
        <item>）</item>
      </candidateList>
      <explain>文本全半角错误。</explain>
      <paraID>6FFE5B3E</paraID>
      <start>12</start>
      <end>13</end>
      <status>unmodified</status>
      <modifiedWord/>
      <trackRevisions>false</trackRevisions>
    </reviewItem>
    <reviewItem>
      <errorID>7661ac38-ea33-40d3-a001-0eb2ee18ca46</errorID>
      <errorWord>(</errorWord>
      <group>L1_Format</group>
      <groupName>格式问题</groupName>
      <ability>L2_HalfPunc</ability>
      <abilityName>全半角检查</abilityName>
      <candidateList>
        <item>（</item>
      </candidateList>
      <explain>文本全半角错误。</explain>
      <paraID> 6EB6DB1</paraID>
      <start>140</start>
      <end>141</end>
      <status>unmodified</status>
      <modifiedWord/>
      <trackRevisions>false</trackRevisions>
    </reviewItem>
    <reviewItem>
      <errorID>85602f24-1ad7-4733-86a3-997a21d15cbc</errorID>
      <errorWord>)</errorWord>
      <group>L1_Format</group>
      <groupName>格式问题</groupName>
      <ability>L2_HalfPunc</ability>
      <abilityName>全半角检查</abilityName>
      <candidateList>
        <item>）</item>
      </candidateList>
      <explain>文本全半角错误。</explain>
      <paraID> 6EB6DB1</paraID>
      <start>143</start>
      <end>144</end>
      <status>unmodified</status>
      <modifiedWord/>
      <trackRevisions>false</trackRevisions>
    </reviewItem>
    <reviewItem>
      <errorID>d5b71fcd-70a2-484e-be13-74748bc84de0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2CFF917B</paraID>
      <start>19</start>
      <end>22</end>
      <status>unmodified</status>
      <modifiedWord/>
      <trackRevisions>false</trackRevisions>
    </reviewItem>
    <reviewItem>
      <errorID>56694913-3b78-4633-ad72-163b06297194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2CFF917B</paraID>
      <start>26</start>
      <end>29</end>
      <status>unmodified</status>
      <modifiedWord/>
      <trackRevisions>false</trackRevisions>
    </reviewItem>
    <reviewItem>
      <errorID>36ef2d46-ffea-4f26-aee6-a55bda8a6e57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2CFF917B</paraID>
      <start>33</start>
      <end>36</end>
      <status>unmodified</status>
      <modifiedWord/>
      <trackRevisions>false</trackRevisions>
    </reviewItem>
    <reviewItem>
      <errorID>6067e37a-3f7c-45b4-8234-661e346e7fc8</errorID>
      <errorWord>法律、法规</errorWord>
      <group>L1_Word</group>
      <groupName>字词问题</groupName>
      <ability>L2_Typo</ability>
      <abilityName>字词错误</abilityName>
      <candidateList>
        <item>法律法规</item>
      </candidateList>
      <explain/>
      <paraID>1CD16A46</paraID>
      <start>3</start>
      <end>8</end>
      <status>unmodified</status>
      <modifiedWord/>
      <trackRevisions>false</trackRevisions>
    </reviewItem>
    <reviewItem>
      <errorID>467e6a4d-e6c1-4d66-bf93-92c6f4710e25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21896EC2</paraID>
      <start>25</start>
      <end>26</end>
      <status>unmodified</status>
      <modifiedWord/>
      <trackRevisions>false</trackRevisions>
    </reviewItem>
    <reviewItem>
      <errorID>1ce6379b-5c18-479c-8820-91b4ab48fb0d</errorID>
      <errorWord>(</errorWord>
      <group>L1_Format</group>
      <groupName>格式问题</groupName>
      <ability>L2_HalfPunc</ability>
      <abilityName>全半角检查</abilityName>
      <candidateList>
        <item>（</item>
      </candidateList>
      <explain>文本全半角错误。</explain>
      <paraID>76987472</paraID>
      <start>1</start>
      <end>2</end>
      <status>unmodified</status>
      <modifiedWord/>
      <trackRevisions>false</trackRevisions>
    </reviewItem>
    <reviewItem>
      <errorID>00483033-cbf6-4589-a2be-a50a9814f0b8</errorID>
      <errorWord>)</errorWord>
      <group>L1_Format</group>
      <groupName>格式问题</groupName>
      <ability>L2_HalfPunc</ability>
      <abilityName>全半角检查</abilityName>
      <candidateList>
        <item>）</item>
      </candidateList>
      <explain>文本全半角错误。</explain>
      <paraID>76987472</paraID>
      <start>3</start>
      <end>4</end>
      <status>unmodified</status>
      <modifiedWord/>
      <trackRevisions>false</trackRevisions>
    </reviewItem>
    <reviewItem>
      <errorID>155168dd-106b-442e-b753-5021ea3d9061</errorID>
      <errorWord>(</errorWord>
      <group>L1_Format</group>
      <groupName>格式问题</groupName>
      <ability>L2_HalfPunc</ability>
      <abilityName>全半角检查</abilityName>
      <candidateList>
        <item>（</item>
      </candidateList>
      <explain>文本全半角错误。</explain>
      <paraID>76987472</paraID>
      <start>94</start>
      <end>95</end>
      <status>unmodified</status>
      <modifiedWord/>
      <trackRevisions>false</trackRevisions>
    </reviewItem>
    <reviewItem>
      <errorID>9adee9be-491c-4628-8aeb-55ac2e65fdfd</errorID>
      <errorWord>)</errorWord>
      <group>L1_Format</group>
      <groupName>格式问题</groupName>
      <ability>L2_HalfPunc</ability>
      <abilityName>全半角检查</abilityName>
      <candidateList>
        <item>）</item>
      </candidateList>
      <explain>文本全半角错误。</explain>
      <paraID>76987472</paraID>
      <start>97</start>
      <end>98</end>
      <status>unmodified</status>
      <modifiedWord/>
      <trackRevisions>false</trackRevisions>
    </reviewItem>
    <reviewItem>
      <errorID>e743ac1c-e3ae-4bf8-890b-eea3a7b72f13</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67696BB8</paraID>
      <start>0</start>
      <end>3</end>
      <status>unmodified</status>
      <modifiedWord/>
      <trackRevisions>false</trackRevisions>
    </reviewItem>
    <reviewItem>
      <errorID>a0c139b7-198e-40be-aeea-e03f698b257e</errorID>
      <errorWord>(</errorWord>
      <group>L1_Format</group>
      <groupName>格式问题</groupName>
      <ability>L2_HalfPunc</ability>
      <abilityName>全半角检查</abilityName>
      <candidateList>
        <item>（</item>
      </candidateList>
      <explain>文本全半角错误。</explain>
      <paraID>67696BB8</paraID>
      <start>29</start>
      <end>30</end>
      <status>unmodified</status>
      <modifiedWord/>
      <trackRevisions>false</trackRevisions>
    </reviewItem>
    <reviewItem>
      <errorID>f093d113-1d7b-459f-96e4-f874c51cdd8f</errorID>
      <errorWord>)</errorWord>
      <group>L1_Format</group>
      <groupName>格式问题</groupName>
      <ability>L2_HalfPunc</ability>
      <abilityName>全半角检查</abilityName>
      <candidateList>
        <item>）</item>
      </candidateList>
      <explain>文本全半角错误。</explain>
      <paraID>67696BB8</paraID>
      <start>32</start>
      <end>33</end>
      <status>unmodified</status>
      <modifiedWord/>
      <trackRevisions>false</trackRevisions>
    </reviewItem>
    <reviewItem>
      <errorID>f5853eb1-1e61-4bcd-b163-c70fd6b12d38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512FD9B1</paraID>
      <start>0</start>
      <end>3</end>
      <status>unmodified</status>
      <modifiedWord/>
      <trackRevisions>false</trackRevisions>
    </reviewItem>
    <reviewItem>
      <errorID>f0f367b7-0c28-4696-8a1f-0e153bd74e64</errorID>
      <errorWord>;</errorWord>
      <group>L1_Format</group>
      <groupName>格式问题</groupName>
      <ability>L2_HalfPunc</ability>
      <abilityName>全半角检查</abilityName>
      <candidateList>
        <item>；</item>
      </candidateList>
      <explain>文本全半角错误。</explain>
      <paraID>512FD9B1</paraID>
      <start>50</start>
      <end>51</end>
      <status>unmodified</status>
      <modifiedWord/>
      <trackRevisions>false</trackRevisions>
    </reviewItem>
    <reviewItem>
      <errorID>2cbdc039-63ba-43ce-91f6-e3ff075d87e9</errorID>
      <errorWord>;</errorWord>
      <group>L1_Format</group>
      <groupName>格式问题</groupName>
      <ability>L2_HalfPunc</ability>
      <abilityName>全半角检查</abilityName>
      <candidateList>
        <item>；</item>
      </candidateList>
      <explain>文本全半角错误。</explain>
      <paraID>512FD9B1</paraID>
      <start>142</start>
      <end>143</end>
      <status>unmodified</status>
      <modifiedWord/>
      <trackRevisions>false</trackRevisions>
    </reviewItem>
    <reviewItem>
      <errorID>1bd4c54b-533a-4ef8-80aa-e6ae1b3e468c</errorID>
      <errorWord>经管</errorWord>
      <group>L1_Word</group>
      <groupName>字词问题</groupName>
      <ability>L2_Typo</ability>
      <abilityName>字词错误</abilityName>
      <candidateList>
        <item>经营</item>
      </candidateList>
      <explain>〈动〉❶筹划并管理（企业等）：～商业｜～畜牧业｜苦心～。❷泛指计划和组织：这个展览会是煞费～的。</explain>
      <paraID>512FD9B1</paraID>
      <start>239</start>
      <end>241</end>
      <status>unmodified</status>
      <modifiedWord/>
      <trackRevisions>false</trackRevisions>
    </reviewItem>
    <reviewItem>
      <errorID>19694a3c-14ac-40c4-84c9-b56fc32030eb</errorID>
      <errorWord>;</errorWord>
      <group>L1_Format</group>
      <groupName>格式问题</groupName>
      <ability>L2_HalfPunc</ability>
      <abilityName>全半角检查</abilityName>
      <candidateList>
        <item>；</item>
      </candidateList>
      <explain>文本全半角错误。</explain>
      <paraID>512FD9B1</paraID>
      <start>270</start>
      <end>271</end>
      <status>unmodified</status>
      <modifiedWord/>
      <trackRevisions>false</trackRevisions>
    </reviewItem>
    <reviewItem>
      <errorID>2658079a-f4c0-4cfe-8e53-37c8d876298a</errorID>
      <errorWord>(</errorWord>
      <group>L1_Format</group>
      <groupName>格式问题</groupName>
      <ability>L2_HalfPunc</ability>
      <abilityName>全半角检查</abilityName>
      <candidateList>
        <item>（</item>
      </candidateList>
      <explain>文本全半角错误。</explain>
      <paraID>512FD9B1</paraID>
      <start>330</start>
      <end>331</end>
      <status>unmodified</status>
      <modifiedWord/>
      <trackRevisions>false</trackRevisions>
    </reviewItem>
    <reviewItem>
      <errorID>3327a3af-7a53-44c5-b711-094395afaffb</errorID>
      <errorWord>)</errorWord>
      <group>L1_Format</group>
      <groupName>格式问题</groupName>
      <ability>L2_HalfPunc</ability>
      <abilityName>全半角检查</abilityName>
      <candidateList>
        <item>）</item>
      </candidateList>
      <explain>文本全半角错误。</explain>
      <paraID>512FD9B1</paraID>
      <start>333</start>
      <end>334</end>
      <status>unmodified</status>
      <modifiedWord/>
      <trackRevisions>false</trackRevisions>
    </reviewItem>
    <reviewItem>
      <errorID>6b0427dc-b82e-40ab-a7cf-7487fa25d9ff</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69F24C0B</paraID>
      <start>0</start>
      <end>3</end>
      <status>unmodified</status>
      <modifiedWord/>
      <trackRevisions>false</trackRevisions>
    </reviewItem>
    <reviewItem>
      <errorID>1fc04c01-687d-47fa-9f31-18fe1587bf76</errorID>
      <errorWord>统购分销</errorWord>
      <group>L1_Knowledge</group>
      <groupName>知识性问题</groupName>
      <ability>L2_Idiom</ability>
      <abilityName>成语和诗歌</abilityName>
      <candidateList>
        <item>统购统销</item>
      </candidateList>
      <explain/>
      <paraID>69F24C0B</paraID>
      <start>3</start>
      <end>7</end>
      <status>unmodified</status>
      <modifiedWord/>
      <trackRevisions>false</trackRevisions>
    </reviewItem>
    <reviewItem>
      <errorID>de45de6d-e8c0-400c-88f8-79dbe8ea2ad4</errorID>
      <errorWord>法律、法规</errorWord>
      <group>L1_Word</group>
      <groupName>字词问题</groupName>
      <ability>L2_Typo</ability>
      <abilityName>字词错误</abilityName>
      <candidateList>
        <item>法律法规</item>
      </candidateList>
      <explain/>
      <paraID>1AF23E11</paraID>
      <start>19</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691b583e-1551-497a-b160-bada7b75be98}">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2128</Words>
  <Characters>2216</Characters>
  <Lines>0</Lines>
  <Paragraphs>0</Paragraphs>
  <TotalTime>2</TotalTime>
  <ScaleCrop>false</ScaleCrop>
  <LinksUpToDate>false</LinksUpToDate>
  <CharactersWithSpaces>2264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2024-12-24T02:07:00Z</dcterms:created>
  <dc:creator>Administrator</dc:creator>
  <cp:lastModifiedBy>谷不丢</cp:lastModifiedBy>
  <cp:lastPrinted>2025-04-11T07:38:00Z</cp:lastPrinted>
  <dcterms:modified xsi:type="dcterms:W3CDTF">2026-09-07T01:37:56Z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74F0B5117B5146F8B2311A9C51323CE4_13</vt:lpwstr>
  </property>
  <property fmtid="{D5CDD505-2E9C-101B-9397-08002B2CF9AE}" pid="4" name="KSOTemplateDocerSaveRecord">
    <vt:lpwstr>eyJoZGlkIjoiMWE1NzE1MGVjNjFjNTk2NThjZDk5MzI5OTZkN2JiYTQiLCJ1c2VySWQiOiI3MTIzMDAxOTQifQ==</vt:lpwstr>
  </property>
</Properties>
</file>