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76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前进区审计局2025年政府信息公开</w:t>
      </w:r>
    </w:p>
    <w:p w14:paraId="78DBD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 w14:paraId="7CEE22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CBCA4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根据《中华人民共和国政府信息公开条例》（以下简称《条例》）要求，特向社会公布2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年度本机关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信息公开年度报告。本报告中所列数据的统计期限自2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年1月1日起至2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年12月31日止。如对本报告有任何疑问，请与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前进区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审计局办公室联系（联系电话：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0454-8839286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05D8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7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 w14:paraId="03F4A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始终坚持党对审计工作的领导，全面落实中央和省委、市委部署要求，聚焦区委、区政府中心工作，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依法履行审计监督职能，立足“经济监督”定位，找努力以高质量审计推动全区经济社会高质量发展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按照《条例》要求，及时更新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网站内容，遵循公正、公平、合法、便民的原则，不断完善政府信息公开工作。</w:t>
      </w:r>
    </w:p>
    <w:p w14:paraId="7E3CF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主动公开情况</w:t>
      </w:r>
    </w:p>
    <w:p w14:paraId="08476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局全年公开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条。</w:t>
      </w:r>
    </w:p>
    <w:p w14:paraId="5E548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依申请公开情况</w:t>
      </w:r>
    </w:p>
    <w:p w14:paraId="326D8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局受理政府信息公开申请事项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条。</w:t>
      </w:r>
    </w:p>
    <w:p w14:paraId="3D4D8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政府信息管理情况</w:t>
      </w:r>
    </w:p>
    <w:p w14:paraId="2FF6E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局政府信息公开工作由局长亲自部署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日常工作由办公室工作人员负责落实，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严格遵守“三级审批”制度,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确保政府信息公开工作顺利推进。</w:t>
      </w:r>
    </w:p>
    <w:p w14:paraId="5CB82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平台建设情况</w:t>
      </w:r>
    </w:p>
    <w:p w14:paraId="69148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局政府信息公开主要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在佳木斯市前进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区人民政府网站进行信息发布。</w:t>
      </w:r>
    </w:p>
    <w:p w14:paraId="6E51F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监督保障工作情况</w:t>
      </w:r>
    </w:p>
    <w:p w14:paraId="5F316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7" w:leftChars="-94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切实加强组织领导，建立健全单位政府信息公开制度，加强政府信息公开业务学习培训，深入推进政府信息公开工作。</w:t>
      </w:r>
    </w:p>
    <w:p w14:paraId="3901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7" w:leftChars="-94" w:right="0" w:rightChars="0" w:firstLine="672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6E1A5052"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B96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729E9FA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DEC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8370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5E15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36F5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 w14:paraId="20CC61B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C514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C25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B03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970B0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11A738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44DD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7C1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626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A40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5F2C2D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170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2D8FD5B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BFF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B9AB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C6986D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65BA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3CB2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50AA57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3BB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381E5FB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D8B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8C77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64F2807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9385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063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D0F52A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DAFE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C1D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D52562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597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70E0983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550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F9F5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22B7AE2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676D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EE9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E827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72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14:paraId="20FB617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385F"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2B6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 w14:paraId="50064AB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44BCF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633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C98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AC2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28766DA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C639B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0E9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362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 w14:paraId="0FEDE6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868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 w14:paraId="7ED0BD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3D8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490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780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CFC0D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 w14:paraId="7016981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B9E8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9EF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263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4FA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28C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589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2BD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400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BB2EB0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4F4D6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9FC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44C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64E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FEC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6BF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668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54A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D2EF0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5C8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28EC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153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781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EBF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A01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3F0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85C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859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611EFD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D451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72EAB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354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3FC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CF7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BC1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096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702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D70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28295F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AC94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C76C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6ECD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758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C53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F2E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95D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329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3DC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682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B69D12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3A64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782F00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CC10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D5F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C16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F5E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C7F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400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5EB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B3D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16E54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AC69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62EC9B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A399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BB3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E7B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388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8B8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2C8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7E6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88C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F320E0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8E73F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6D2E79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6146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C0A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AA1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70B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4CA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74B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D7B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A12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C385B2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D0C3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C10E5F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4FC9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D1F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E54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4EE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BAB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53B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C91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3C6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1B643A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2882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70EE81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2A89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C8D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4FF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813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971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92C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3AC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134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7BDB08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6A06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F3FCEF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6F96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D14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E24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8B5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727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66F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51E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B17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FD9E55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5636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E0BB74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0602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AF5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666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AAC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814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93F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8B7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35E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187B60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40931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D988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A4E1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FD2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AF5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E78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14F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A84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A70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8EA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181BD2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6B403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E0276F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B903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0F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022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25D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9DC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642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889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64C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89373B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2C909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4E6EC6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6E8C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2BE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A7A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337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8E0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DB6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5EC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C31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621A12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4834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DC78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8307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658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9AC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45B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B37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36A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DFD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8A2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527639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93DB9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D98FB3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2457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2CB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2CD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187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2A6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6BC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A0B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FBC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2DA0BA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91562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8C5CD1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9B9E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E51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FF0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1B3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B98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7DE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107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CB4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85C4C0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3243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EDBB43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3F77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678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B08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323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F24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17D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871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69B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5E9BEE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DF119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088F94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E7FA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E39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33D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998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118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779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35E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EB2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8DCA9B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5576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E14B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733F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6E8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1DE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9C4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304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51F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696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093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4E71CB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85009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CC39E8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B9F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DE4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43B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137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745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132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CBF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EB5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48AE0B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49A2E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0C292D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8AAC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ACC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C17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45A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FB9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497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BC5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214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7452B6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9162FE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E6BD4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9CA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1FB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992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C0B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2E7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3E4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23B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3823C2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CAB53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127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6E8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802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47F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AEA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1F6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A4D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AB5B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72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7BC728B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BD139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23CB6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 w14:paraId="5D3943D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26B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BCC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EC1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18B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4C6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1F9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186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 w14:paraId="09CFE26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FD7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365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3D2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003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72B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3DB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375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C57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1CE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0FC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AE7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F5E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0D8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9B6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58C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5AEB170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0D6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62B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7E4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299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C33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F13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15B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463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809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2ED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492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27A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E6E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48F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B68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93303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 w14:paraId="6FD917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在政府信息公开工作中，存在的主要问题是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信息公开数量较少，工作人员业务能力有待提升。</w:t>
      </w:r>
    </w:p>
    <w:p w14:paraId="5F18A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我局将进一步做好政府信息公开工作，为此，将采取以下改进措施：一是认真学习《中华人民共和国政府信息公开条例》，加强业务培训，进一步提高对信息公开工作的认识。及时发布和更新依法应主动公开的政府信息，使信息公开工作更加有序、高效。二是结合审计工作实际，加强对审计工作的宣传力度，提高社会公众对审计监督职能和作用的认识。三是规范公开内容，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信息公开数据的及时、准确，完整。</w:t>
      </w:r>
      <w:bookmarkStart w:id="0" w:name="_GoBack"/>
      <w:bookmarkEnd w:id="0"/>
    </w:p>
    <w:p w14:paraId="213F5F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 w14:paraId="2D9A47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2025年，我局政府信息公开工作未收取任何费用。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OWJlMDZjZmM0NTc5NjU1ZjdiMDRiODU5MWUzMWYifQ=="/>
    <w:docVar w:name="KSO_WPS_MARK_KEY" w:val="386b4354-8eec-4a15-a1aa-d6080e033d52"/>
  </w:docVars>
  <w:rsids>
    <w:rsidRoot w:val="754B60B7"/>
    <w:rsid w:val="03AF786B"/>
    <w:rsid w:val="03BB1D6C"/>
    <w:rsid w:val="040E27E3"/>
    <w:rsid w:val="04333FF8"/>
    <w:rsid w:val="06345E06"/>
    <w:rsid w:val="076F3599"/>
    <w:rsid w:val="07AD2313"/>
    <w:rsid w:val="0889068B"/>
    <w:rsid w:val="09512E25"/>
    <w:rsid w:val="0ACB31DC"/>
    <w:rsid w:val="0AD2272D"/>
    <w:rsid w:val="0D63594E"/>
    <w:rsid w:val="0E8A515C"/>
    <w:rsid w:val="0F6E7F48"/>
    <w:rsid w:val="103435D2"/>
    <w:rsid w:val="15BB290B"/>
    <w:rsid w:val="16092E0B"/>
    <w:rsid w:val="170A6E3A"/>
    <w:rsid w:val="178F6275"/>
    <w:rsid w:val="1A1D0C33"/>
    <w:rsid w:val="1C27223D"/>
    <w:rsid w:val="1DDE2DCF"/>
    <w:rsid w:val="1E9B0CC0"/>
    <w:rsid w:val="1F5B5B03"/>
    <w:rsid w:val="20D67240"/>
    <w:rsid w:val="21CD0272"/>
    <w:rsid w:val="228F6446"/>
    <w:rsid w:val="23675615"/>
    <w:rsid w:val="249146F7"/>
    <w:rsid w:val="2494131E"/>
    <w:rsid w:val="24E561BD"/>
    <w:rsid w:val="25382DC5"/>
    <w:rsid w:val="264B4D7A"/>
    <w:rsid w:val="26F96584"/>
    <w:rsid w:val="27AC08C6"/>
    <w:rsid w:val="289E028F"/>
    <w:rsid w:val="2AD417E1"/>
    <w:rsid w:val="2BD575BF"/>
    <w:rsid w:val="2CB76CC5"/>
    <w:rsid w:val="309C68FD"/>
    <w:rsid w:val="321E3342"/>
    <w:rsid w:val="3249632A"/>
    <w:rsid w:val="328533C1"/>
    <w:rsid w:val="390E4110"/>
    <w:rsid w:val="39122D03"/>
    <w:rsid w:val="3AA52C0B"/>
    <w:rsid w:val="3D4E71D1"/>
    <w:rsid w:val="3DBD4357"/>
    <w:rsid w:val="3EAF4ABF"/>
    <w:rsid w:val="417B60BB"/>
    <w:rsid w:val="4317449E"/>
    <w:rsid w:val="44DB01A8"/>
    <w:rsid w:val="45E701C3"/>
    <w:rsid w:val="464C17F0"/>
    <w:rsid w:val="509251CF"/>
    <w:rsid w:val="541F2214"/>
    <w:rsid w:val="563F3703"/>
    <w:rsid w:val="56AC3BA5"/>
    <w:rsid w:val="59DB7BC8"/>
    <w:rsid w:val="59FB30B7"/>
    <w:rsid w:val="5BD448EE"/>
    <w:rsid w:val="5BEC007B"/>
    <w:rsid w:val="5BFC5BF3"/>
    <w:rsid w:val="5E1E62F4"/>
    <w:rsid w:val="62513128"/>
    <w:rsid w:val="626562A0"/>
    <w:rsid w:val="62D557C6"/>
    <w:rsid w:val="685851B0"/>
    <w:rsid w:val="68DD5826"/>
    <w:rsid w:val="69520701"/>
    <w:rsid w:val="6B286A04"/>
    <w:rsid w:val="6BF662AB"/>
    <w:rsid w:val="6C5C433D"/>
    <w:rsid w:val="6D1951CB"/>
    <w:rsid w:val="6D662974"/>
    <w:rsid w:val="70ED4030"/>
    <w:rsid w:val="71713E46"/>
    <w:rsid w:val="723F6B0D"/>
    <w:rsid w:val="749D3FBF"/>
    <w:rsid w:val="754B60B7"/>
    <w:rsid w:val="764B5188"/>
    <w:rsid w:val="786C6182"/>
    <w:rsid w:val="79DE156A"/>
    <w:rsid w:val="79F3642F"/>
    <w:rsid w:val="7C6B04FF"/>
    <w:rsid w:val="7EFE0754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1698</Words>
  <Characters>1754</Characters>
  <Lines>0</Lines>
  <Paragraphs>0</Paragraphs>
  <TotalTime>2</TotalTime>
  <ScaleCrop>false</ScaleCrop>
  <LinksUpToDate>false</LinksUpToDate>
  <CharactersWithSpaces>1757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sky</cp:lastModifiedBy>
  <dcterms:modified xsi:type="dcterms:W3CDTF">2026-01-29T07:04:07Z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94214A4E94094439AFF88E74C90B4161</vt:lpwstr>
  </property>
  <property fmtid="{D5CDD505-2E9C-101B-9397-08002B2CF9AE}" pid="4" name="KSOTemplateDocerSaveRecord">
    <vt:lpwstr>eyJoZGlkIjoiMTYwOWJlMDZjZmM0NTc5NjU1ZjdiMDRiODU5MWUzMWYiLCJ1c2VySWQiOiI0MTg1MDc0NjYifQ==</vt:lpwstr>
  </property>
</Properties>
</file>